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2A6" w:rsidRPr="001E15D6" w:rsidRDefault="00960CBD" w:rsidP="00FF62A6">
      <w:pPr>
        <w:jc w:val="center"/>
        <w:rPr>
          <w:rFonts w:cstheme="minorHAnsi"/>
          <w:sz w:val="36"/>
          <w:szCs w:val="36"/>
        </w:rPr>
      </w:pPr>
      <w:r w:rsidRPr="001E15D6">
        <w:rPr>
          <w:rFonts w:cstheme="minorHAnsi"/>
          <w:sz w:val="36"/>
          <w:szCs w:val="36"/>
        </w:rPr>
        <w:t xml:space="preserve">Termes de référence – </w:t>
      </w:r>
      <w:r w:rsidR="00F55B7A" w:rsidRPr="001E15D6">
        <w:rPr>
          <w:rFonts w:cstheme="minorHAnsi"/>
          <w:sz w:val="36"/>
          <w:szCs w:val="36"/>
        </w:rPr>
        <w:t>Capitalisation</w:t>
      </w:r>
      <w:r w:rsidR="00C40FE6">
        <w:rPr>
          <w:rFonts w:cstheme="minorHAnsi"/>
          <w:sz w:val="36"/>
          <w:szCs w:val="36"/>
        </w:rPr>
        <w:t>s</w:t>
      </w:r>
      <w:r w:rsidR="00FF62A6" w:rsidRPr="001E15D6">
        <w:rPr>
          <w:rFonts w:cstheme="minorHAnsi"/>
          <w:sz w:val="36"/>
          <w:szCs w:val="36"/>
        </w:rPr>
        <w:t xml:space="preserve"> </w:t>
      </w:r>
    </w:p>
    <w:p w:rsidR="00960CBD" w:rsidRDefault="00960CBD" w:rsidP="00960CBD">
      <w:pPr>
        <w:rPr>
          <w:rFonts w:cstheme="minorHAnsi"/>
          <w:sz w:val="24"/>
          <w:szCs w:val="24"/>
        </w:rPr>
      </w:pPr>
    </w:p>
    <w:p w:rsidR="00C142C9" w:rsidRPr="00505681" w:rsidRDefault="00C142C9" w:rsidP="00C142C9">
      <w:pPr>
        <w:ind w:left="1134"/>
        <w:rPr>
          <w:rFonts w:cstheme="minorHAnsi"/>
          <w:b/>
          <w:sz w:val="56"/>
          <w:szCs w:val="56"/>
        </w:rPr>
      </w:pPr>
      <w:r w:rsidRPr="00505681">
        <w:rPr>
          <w:rFonts w:cstheme="minorHAnsi"/>
          <w:b/>
          <w:sz w:val="56"/>
          <w:szCs w:val="56"/>
        </w:rPr>
        <w:t>Appel d’offres</w:t>
      </w:r>
    </w:p>
    <w:p w:rsidR="00C142C9" w:rsidRPr="001E15D6" w:rsidRDefault="00C40FE6" w:rsidP="00C142C9">
      <w:pPr>
        <w:jc w:val="center"/>
        <w:rPr>
          <w:rFonts w:cstheme="minorHAnsi"/>
          <w:sz w:val="36"/>
          <w:szCs w:val="36"/>
        </w:rPr>
      </w:pPr>
      <w:r>
        <w:rPr>
          <w:rFonts w:cstheme="minorHAnsi"/>
          <w:sz w:val="36"/>
          <w:szCs w:val="36"/>
        </w:rPr>
        <w:t>Capitalisations</w:t>
      </w:r>
      <w:r w:rsidR="00C142C9">
        <w:rPr>
          <w:rFonts w:cstheme="minorHAnsi"/>
          <w:sz w:val="36"/>
          <w:szCs w:val="36"/>
        </w:rPr>
        <w:t xml:space="preserve"> </w:t>
      </w:r>
      <w:r w:rsidR="00C142C9" w:rsidRPr="001E15D6">
        <w:rPr>
          <w:rFonts w:cstheme="minorHAnsi"/>
          <w:sz w:val="36"/>
          <w:szCs w:val="36"/>
        </w:rPr>
        <w:t>Accès aux services essentiels ; Pratiques et savoirs croisés eau-énergie-déchets</w:t>
      </w:r>
    </w:p>
    <w:p w:rsidR="00C142C9" w:rsidRPr="00505681" w:rsidRDefault="00C142C9" w:rsidP="00C142C9">
      <w:pPr>
        <w:ind w:left="1134"/>
        <w:rPr>
          <w:rFonts w:cstheme="minorHAnsi"/>
          <w:sz w:val="40"/>
          <w:szCs w:val="40"/>
        </w:rPr>
      </w:pPr>
    </w:p>
    <w:p w:rsidR="00C142C9" w:rsidRPr="00505681" w:rsidRDefault="00C142C9" w:rsidP="00C142C9">
      <w:pPr>
        <w:ind w:left="1134"/>
        <w:jc w:val="center"/>
        <w:rPr>
          <w:rFonts w:cstheme="minorHAnsi"/>
          <w:sz w:val="40"/>
          <w:szCs w:val="40"/>
        </w:rPr>
      </w:pPr>
      <w:r w:rsidRPr="00505681">
        <w:rPr>
          <w:rFonts w:cstheme="minorHAnsi"/>
          <w:sz w:val="40"/>
          <w:szCs w:val="40"/>
        </w:rPr>
        <w:t>Date limite de réponse</w:t>
      </w:r>
      <w:r>
        <w:rPr>
          <w:rFonts w:cstheme="minorHAnsi"/>
          <w:sz w:val="40"/>
          <w:szCs w:val="40"/>
        </w:rPr>
        <w:t> </w:t>
      </w:r>
      <w:r w:rsidRPr="001A6DA8">
        <w:rPr>
          <w:rFonts w:cstheme="minorHAnsi"/>
          <w:b/>
          <w:sz w:val="40"/>
          <w:szCs w:val="40"/>
        </w:rPr>
        <w:t xml:space="preserve">: </w:t>
      </w:r>
      <w:r w:rsidR="00C40FE6">
        <w:rPr>
          <w:rFonts w:cstheme="minorHAnsi"/>
          <w:b/>
          <w:sz w:val="40"/>
          <w:szCs w:val="40"/>
        </w:rPr>
        <w:t xml:space="preserve">Mardi </w:t>
      </w:r>
      <w:r w:rsidR="00E804FF">
        <w:rPr>
          <w:rFonts w:cstheme="minorHAnsi"/>
          <w:b/>
          <w:sz w:val="40"/>
          <w:szCs w:val="40"/>
        </w:rPr>
        <w:t>19 avril</w:t>
      </w:r>
      <w:r>
        <w:rPr>
          <w:rFonts w:cstheme="minorHAnsi"/>
          <w:b/>
          <w:sz w:val="40"/>
          <w:szCs w:val="40"/>
        </w:rPr>
        <w:t xml:space="preserve"> </w:t>
      </w:r>
      <w:r w:rsidRPr="001A6DA8">
        <w:rPr>
          <w:rFonts w:cstheme="minorHAnsi"/>
          <w:b/>
          <w:sz w:val="40"/>
          <w:szCs w:val="40"/>
        </w:rPr>
        <w:t>2</w:t>
      </w:r>
      <w:r>
        <w:rPr>
          <w:rFonts w:cstheme="minorHAnsi"/>
          <w:b/>
          <w:sz w:val="40"/>
          <w:szCs w:val="40"/>
        </w:rPr>
        <w:t>022</w:t>
      </w:r>
    </w:p>
    <w:p w:rsidR="00C142C9" w:rsidRPr="00505681" w:rsidRDefault="00C142C9" w:rsidP="00C142C9">
      <w:pPr>
        <w:ind w:left="1134"/>
        <w:rPr>
          <w:rFonts w:cstheme="minorHAnsi"/>
          <w:sz w:val="40"/>
          <w:szCs w:val="40"/>
        </w:rPr>
      </w:pPr>
    </w:p>
    <w:p w:rsidR="00C142C9" w:rsidRPr="00505681" w:rsidRDefault="00C142C9" w:rsidP="00C142C9">
      <w:pPr>
        <w:ind w:left="1134"/>
        <w:jc w:val="right"/>
        <w:rPr>
          <w:rFonts w:cstheme="minorHAnsi"/>
          <w:i/>
          <w:sz w:val="36"/>
          <w:szCs w:val="36"/>
        </w:rPr>
      </w:pPr>
      <w:r w:rsidRPr="008B03B5">
        <w:rPr>
          <w:rFonts w:cstheme="minorHAnsi"/>
          <w:i/>
          <w:sz w:val="36"/>
          <w:szCs w:val="36"/>
        </w:rPr>
        <w:t xml:space="preserve">Paris, le </w:t>
      </w:r>
      <w:r w:rsidR="00E804FF">
        <w:rPr>
          <w:rFonts w:cstheme="minorHAnsi"/>
          <w:i/>
          <w:sz w:val="36"/>
          <w:szCs w:val="36"/>
        </w:rPr>
        <w:t>16 mars</w:t>
      </w:r>
      <w:r w:rsidR="00C40FE6">
        <w:rPr>
          <w:rFonts w:cstheme="minorHAnsi"/>
          <w:i/>
          <w:sz w:val="36"/>
          <w:szCs w:val="36"/>
        </w:rPr>
        <w:t xml:space="preserve"> </w:t>
      </w:r>
      <w:r w:rsidRPr="008B03B5">
        <w:rPr>
          <w:rFonts w:cstheme="minorHAnsi"/>
          <w:i/>
          <w:sz w:val="36"/>
          <w:szCs w:val="36"/>
        </w:rPr>
        <w:t xml:space="preserve"> 2</w:t>
      </w:r>
      <w:r>
        <w:rPr>
          <w:rFonts w:cstheme="minorHAnsi"/>
          <w:i/>
          <w:sz w:val="36"/>
          <w:szCs w:val="36"/>
        </w:rPr>
        <w:t>0</w:t>
      </w:r>
      <w:r w:rsidRPr="008B03B5">
        <w:rPr>
          <w:rFonts w:cstheme="minorHAnsi"/>
          <w:i/>
          <w:sz w:val="36"/>
          <w:szCs w:val="36"/>
        </w:rPr>
        <w:t>2</w:t>
      </w:r>
      <w:r>
        <w:rPr>
          <w:rFonts w:cstheme="minorHAnsi"/>
          <w:i/>
          <w:sz w:val="36"/>
          <w:szCs w:val="36"/>
        </w:rPr>
        <w:t>2</w:t>
      </w:r>
    </w:p>
    <w:p w:rsidR="00C142C9" w:rsidRDefault="00C142C9">
      <w:pPr>
        <w:rPr>
          <w:rFonts w:cstheme="minorHAnsi"/>
        </w:rPr>
      </w:pPr>
      <w:r>
        <w:rPr>
          <w:rFonts w:cstheme="minorHAnsi"/>
        </w:rPr>
        <w:br w:type="page"/>
      </w:r>
    </w:p>
    <w:p w:rsidR="00C142C9" w:rsidRDefault="00C142C9" w:rsidP="00C142C9">
      <w:pPr>
        <w:rPr>
          <w:rFonts w:cstheme="minorHAnsi"/>
        </w:rPr>
      </w:pPr>
    </w:p>
    <w:p w:rsidR="00C142C9" w:rsidRDefault="00C142C9" w:rsidP="00960CBD">
      <w:pPr>
        <w:rPr>
          <w:rFonts w:cstheme="minorHAnsi"/>
          <w:sz w:val="24"/>
          <w:szCs w:val="24"/>
        </w:rPr>
      </w:pPr>
    </w:p>
    <w:sdt>
      <w:sdtPr>
        <w:rPr>
          <w:rFonts w:ascii="Calibri" w:eastAsiaTheme="minorHAnsi" w:hAnsi="Calibri" w:cstheme="minorHAnsi"/>
          <w:b w:val="0"/>
          <w:bCs w:val="0"/>
          <w:color w:val="auto"/>
          <w:sz w:val="22"/>
          <w:szCs w:val="22"/>
        </w:rPr>
        <w:id w:val="49114811"/>
        <w:docPartObj>
          <w:docPartGallery w:val="Table of Contents"/>
          <w:docPartUnique/>
        </w:docPartObj>
      </w:sdtPr>
      <w:sdtEndPr/>
      <w:sdtContent>
        <w:p w:rsidR="00C142C9" w:rsidRPr="00BE5DDC" w:rsidRDefault="00C142C9" w:rsidP="00C142C9">
          <w:pPr>
            <w:pStyle w:val="En-ttedetabledesmatires"/>
            <w:spacing w:before="0" w:line="240" w:lineRule="auto"/>
            <w:rPr>
              <w:rFonts w:ascii="Calibri" w:hAnsi="Calibri" w:cstheme="minorHAnsi"/>
            </w:rPr>
          </w:pPr>
          <w:r w:rsidRPr="00BE5DDC">
            <w:rPr>
              <w:rFonts w:ascii="Calibri" w:hAnsi="Calibri" w:cstheme="minorHAnsi"/>
            </w:rPr>
            <w:t>Sommaire</w:t>
          </w:r>
        </w:p>
        <w:p w:rsidR="002C68C8" w:rsidRDefault="00BA4D68">
          <w:pPr>
            <w:pStyle w:val="TM1"/>
            <w:rPr>
              <w:rFonts w:asciiTheme="minorHAnsi" w:eastAsiaTheme="minorEastAsia" w:hAnsiTheme="minorHAnsi"/>
              <w:b w:val="0"/>
              <w:lang w:eastAsia="fr-FR"/>
            </w:rPr>
          </w:pPr>
          <w:r w:rsidRPr="00BE5DDC">
            <w:rPr>
              <w:rFonts w:cstheme="minorHAnsi"/>
            </w:rPr>
            <w:fldChar w:fldCharType="begin"/>
          </w:r>
          <w:r w:rsidR="00C142C9" w:rsidRPr="00BE5DDC">
            <w:rPr>
              <w:rFonts w:cstheme="minorHAnsi"/>
            </w:rPr>
            <w:instrText xml:space="preserve"> TOC \o "1-3" \h \z \u </w:instrText>
          </w:r>
          <w:r w:rsidRPr="00BE5DDC">
            <w:rPr>
              <w:rFonts w:cstheme="minorHAnsi"/>
            </w:rPr>
            <w:fldChar w:fldCharType="separate"/>
          </w:r>
          <w:hyperlink w:anchor="_Toc93658848" w:history="1">
            <w:r w:rsidR="002C68C8" w:rsidRPr="00117D33">
              <w:rPr>
                <w:rStyle w:val="Lienhypertexte"/>
              </w:rPr>
              <w:t>1.</w:t>
            </w:r>
            <w:r w:rsidR="002C68C8">
              <w:rPr>
                <w:rFonts w:asciiTheme="minorHAnsi" w:eastAsiaTheme="minorEastAsia" w:hAnsiTheme="minorHAnsi"/>
                <w:b w:val="0"/>
                <w:lang w:eastAsia="fr-FR"/>
              </w:rPr>
              <w:tab/>
            </w:r>
            <w:r w:rsidR="002C68C8" w:rsidRPr="00117D33">
              <w:rPr>
                <w:rStyle w:val="Lienhypertexte"/>
              </w:rPr>
              <w:t>Informations générales et Contenu de la proposition technique et financière</w:t>
            </w:r>
            <w:r w:rsidR="002C68C8">
              <w:rPr>
                <w:webHidden/>
              </w:rPr>
              <w:tab/>
            </w:r>
            <w:r>
              <w:rPr>
                <w:webHidden/>
              </w:rPr>
              <w:fldChar w:fldCharType="begin"/>
            </w:r>
            <w:r w:rsidR="002C68C8">
              <w:rPr>
                <w:webHidden/>
              </w:rPr>
              <w:instrText xml:space="preserve"> PAGEREF _Toc93658848 \h </w:instrText>
            </w:r>
            <w:r>
              <w:rPr>
                <w:webHidden/>
              </w:rPr>
            </w:r>
            <w:r>
              <w:rPr>
                <w:webHidden/>
              </w:rPr>
              <w:fldChar w:fldCharType="separate"/>
            </w:r>
            <w:r w:rsidR="002C68C8">
              <w:rPr>
                <w:webHidden/>
              </w:rPr>
              <w:t>2</w:t>
            </w:r>
            <w:r>
              <w:rPr>
                <w:webHidden/>
              </w:rPr>
              <w:fldChar w:fldCharType="end"/>
            </w:r>
          </w:hyperlink>
        </w:p>
        <w:p w:rsidR="002C68C8" w:rsidRDefault="0080036A">
          <w:pPr>
            <w:pStyle w:val="TM2"/>
            <w:rPr>
              <w:rFonts w:asciiTheme="minorHAnsi" w:eastAsiaTheme="minorEastAsia" w:hAnsiTheme="minorHAnsi"/>
              <w:noProof/>
              <w:lang w:eastAsia="fr-FR"/>
            </w:rPr>
          </w:pPr>
          <w:hyperlink w:anchor="_Toc93658849" w:history="1">
            <w:r w:rsidR="002C68C8" w:rsidRPr="00117D33">
              <w:rPr>
                <w:rStyle w:val="Lienhypertexte"/>
                <w:noProof/>
              </w:rPr>
              <w:t>1.1.</w:t>
            </w:r>
            <w:r w:rsidR="002C68C8">
              <w:rPr>
                <w:rFonts w:asciiTheme="minorHAnsi" w:eastAsiaTheme="minorEastAsia" w:hAnsiTheme="minorHAnsi"/>
                <w:noProof/>
                <w:lang w:eastAsia="fr-FR"/>
              </w:rPr>
              <w:tab/>
            </w:r>
            <w:r w:rsidR="002C68C8" w:rsidRPr="00117D33">
              <w:rPr>
                <w:rStyle w:val="Lienhypertexte"/>
                <w:noProof/>
              </w:rPr>
              <w:t>Introduction</w:t>
            </w:r>
            <w:r w:rsidR="002C68C8">
              <w:rPr>
                <w:noProof/>
                <w:webHidden/>
              </w:rPr>
              <w:tab/>
            </w:r>
            <w:r w:rsidR="00BA4D68">
              <w:rPr>
                <w:noProof/>
                <w:webHidden/>
              </w:rPr>
              <w:fldChar w:fldCharType="begin"/>
            </w:r>
            <w:r w:rsidR="002C68C8">
              <w:rPr>
                <w:noProof/>
                <w:webHidden/>
              </w:rPr>
              <w:instrText xml:space="preserve"> PAGEREF _Toc93658849 \h </w:instrText>
            </w:r>
            <w:r w:rsidR="00BA4D68">
              <w:rPr>
                <w:noProof/>
                <w:webHidden/>
              </w:rPr>
            </w:r>
            <w:r w:rsidR="00BA4D68">
              <w:rPr>
                <w:noProof/>
                <w:webHidden/>
              </w:rPr>
              <w:fldChar w:fldCharType="separate"/>
            </w:r>
            <w:r w:rsidR="002C68C8">
              <w:rPr>
                <w:noProof/>
                <w:webHidden/>
              </w:rPr>
              <w:t>2</w:t>
            </w:r>
            <w:r w:rsidR="00BA4D68">
              <w:rPr>
                <w:noProof/>
                <w:webHidden/>
              </w:rPr>
              <w:fldChar w:fldCharType="end"/>
            </w:r>
          </w:hyperlink>
        </w:p>
        <w:p w:rsidR="002C68C8" w:rsidRDefault="0080036A">
          <w:pPr>
            <w:pStyle w:val="TM2"/>
            <w:rPr>
              <w:rFonts w:asciiTheme="minorHAnsi" w:eastAsiaTheme="minorEastAsia" w:hAnsiTheme="minorHAnsi"/>
              <w:noProof/>
              <w:lang w:eastAsia="fr-FR"/>
            </w:rPr>
          </w:pPr>
          <w:hyperlink w:anchor="_Toc93658850" w:history="1">
            <w:r w:rsidR="002C68C8" w:rsidRPr="00117D33">
              <w:rPr>
                <w:rStyle w:val="Lienhypertexte"/>
                <w:noProof/>
              </w:rPr>
              <w:t>1.2.</w:t>
            </w:r>
            <w:r w:rsidR="002C68C8">
              <w:rPr>
                <w:rFonts w:asciiTheme="minorHAnsi" w:eastAsiaTheme="minorEastAsia" w:hAnsiTheme="minorHAnsi"/>
                <w:noProof/>
                <w:lang w:eastAsia="fr-FR"/>
              </w:rPr>
              <w:tab/>
            </w:r>
            <w:r w:rsidR="002C68C8" w:rsidRPr="00117D33">
              <w:rPr>
                <w:rStyle w:val="Lienhypertexte"/>
                <w:noProof/>
              </w:rPr>
              <w:t>Clarification et corrections éventuelles apportées à l’appel à propositions</w:t>
            </w:r>
            <w:r w:rsidR="002C68C8">
              <w:rPr>
                <w:noProof/>
                <w:webHidden/>
              </w:rPr>
              <w:tab/>
            </w:r>
            <w:r w:rsidR="00BA4D68">
              <w:rPr>
                <w:noProof/>
                <w:webHidden/>
              </w:rPr>
              <w:fldChar w:fldCharType="begin"/>
            </w:r>
            <w:r w:rsidR="002C68C8">
              <w:rPr>
                <w:noProof/>
                <w:webHidden/>
              </w:rPr>
              <w:instrText xml:space="preserve"> PAGEREF _Toc93658850 \h </w:instrText>
            </w:r>
            <w:r w:rsidR="00BA4D68">
              <w:rPr>
                <w:noProof/>
                <w:webHidden/>
              </w:rPr>
            </w:r>
            <w:r w:rsidR="00BA4D68">
              <w:rPr>
                <w:noProof/>
                <w:webHidden/>
              </w:rPr>
              <w:fldChar w:fldCharType="separate"/>
            </w:r>
            <w:r w:rsidR="002C68C8">
              <w:rPr>
                <w:noProof/>
                <w:webHidden/>
              </w:rPr>
              <w:t>3</w:t>
            </w:r>
            <w:r w:rsidR="00BA4D68">
              <w:rPr>
                <w:noProof/>
                <w:webHidden/>
              </w:rPr>
              <w:fldChar w:fldCharType="end"/>
            </w:r>
          </w:hyperlink>
        </w:p>
        <w:p w:rsidR="002C68C8" w:rsidRDefault="0080036A">
          <w:pPr>
            <w:pStyle w:val="TM2"/>
            <w:rPr>
              <w:rFonts w:asciiTheme="minorHAnsi" w:eastAsiaTheme="minorEastAsia" w:hAnsiTheme="minorHAnsi"/>
              <w:noProof/>
              <w:lang w:eastAsia="fr-FR"/>
            </w:rPr>
          </w:pPr>
          <w:hyperlink w:anchor="_Toc93658851" w:history="1">
            <w:r w:rsidR="002C68C8" w:rsidRPr="00117D33">
              <w:rPr>
                <w:rStyle w:val="Lienhypertexte"/>
                <w:noProof/>
              </w:rPr>
              <w:t>1.3.</w:t>
            </w:r>
            <w:r w:rsidR="002C68C8">
              <w:rPr>
                <w:rFonts w:asciiTheme="minorHAnsi" w:eastAsiaTheme="minorEastAsia" w:hAnsiTheme="minorHAnsi"/>
                <w:noProof/>
                <w:lang w:eastAsia="fr-FR"/>
              </w:rPr>
              <w:tab/>
            </w:r>
            <w:r w:rsidR="002C68C8" w:rsidRPr="00117D33">
              <w:rPr>
                <w:rStyle w:val="Lienhypertexte"/>
                <w:noProof/>
              </w:rPr>
              <w:t>Format de la proposition</w:t>
            </w:r>
            <w:r w:rsidR="002C68C8">
              <w:rPr>
                <w:noProof/>
                <w:webHidden/>
              </w:rPr>
              <w:tab/>
            </w:r>
            <w:r w:rsidR="00BA4D68">
              <w:rPr>
                <w:noProof/>
                <w:webHidden/>
              </w:rPr>
              <w:fldChar w:fldCharType="begin"/>
            </w:r>
            <w:r w:rsidR="002C68C8">
              <w:rPr>
                <w:noProof/>
                <w:webHidden/>
              </w:rPr>
              <w:instrText xml:space="preserve"> PAGEREF _Toc93658851 \h </w:instrText>
            </w:r>
            <w:r w:rsidR="00BA4D68">
              <w:rPr>
                <w:noProof/>
                <w:webHidden/>
              </w:rPr>
            </w:r>
            <w:r w:rsidR="00BA4D68">
              <w:rPr>
                <w:noProof/>
                <w:webHidden/>
              </w:rPr>
              <w:fldChar w:fldCharType="separate"/>
            </w:r>
            <w:r w:rsidR="002C68C8">
              <w:rPr>
                <w:noProof/>
                <w:webHidden/>
              </w:rPr>
              <w:t>3</w:t>
            </w:r>
            <w:r w:rsidR="00BA4D68">
              <w:rPr>
                <w:noProof/>
                <w:webHidden/>
              </w:rPr>
              <w:fldChar w:fldCharType="end"/>
            </w:r>
          </w:hyperlink>
        </w:p>
        <w:p w:rsidR="002C68C8" w:rsidRDefault="0080036A">
          <w:pPr>
            <w:pStyle w:val="TM2"/>
            <w:rPr>
              <w:rFonts w:asciiTheme="minorHAnsi" w:eastAsiaTheme="minorEastAsia" w:hAnsiTheme="minorHAnsi"/>
              <w:noProof/>
              <w:lang w:eastAsia="fr-FR"/>
            </w:rPr>
          </w:pPr>
          <w:hyperlink w:anchor="_Toc93658852" w:history="1">
            <w:r w:rsidR="002C68C8" w:rsidRPr="00117D33">
              <w:rPr>
                <w:rStyle w:val="Lienhypertexte"/>
                <w:noProof/>
              </w:rPr>
              <w:t>1.4.</w:t>
            </w:r>
            <w:r w:rsidR="002C68C8">
              <w:rPr>
                <w:rFonts w:asciiTheme="minorHAnsi" w:eastAsiaTheme="minorEastAsia" w:hAnsiTheme="minorHAnsi"/>
                <w:noProof/>
                <w:lang w:eastAsia="fr-FR"/>
              </w:rPr>
              <w:tab/>
            </w:r>
            <w:r w:rsidR="002C68C8" w:rsidRPr="00117D33">
              <w:rPr>
                <w:rStyle w:val="Lienhypertexte"/>
                <w:noProof/>
              </w:rPr>
              <w:t>Soumission de la proposition</w:t>
            </w:r>
            <w:r w:rsidR="002C68C8">
              <w:rPr>
                <w:noProof/>
                <w:webHidden/>
              </w:rPr>
              <w:tab/>
            </w:r>
            <w:r w:rsidR="00BA4D68">
              <w:rPr>
                <w:noProof/>
                <w:webHidden/>
              </w:rPr>
              <w:fldChar w:fldCharType="begin"/>
            </w:r>
            <w:r w:rsidR="002C68C8">
              <w:rPr>
                <w:noProof/>
                <w:webHidden/>
              </w:rPr>
              <w:instrText xml:space="preserve"> PAGEREF _Toc93658852 \h </w:instrText>
            </w:r>
            <w:r w:rsidR="00BA4D68">
              <w:rPr>
                <w:noProof/>
                <w:webHidden/>
              </w:rPr>
            </w:r>
            <w:r w:rsidR="00BA4D68">
              <w:rPr>
                <w:noProof/>
                <w:webHidden/>
              </w:rPr>
              <w:fldChar w:fldCharType="separate"/>
            </w:r>
            <w:r w:rsidR="002C68C8">
              <w:rPr>
                <w:noProof/>
                <w:webHidden/>
              </w:rPr>
              <w:t>3</w:t>
            </w:r>
            <w:r w:rsidR="00BA4D68">
              <w:rPr>
                <w:noProof/>
                <w:webHidden/>
              </w:rPr>
              <w:fldChar w:fldCharType="end"/>
            </w:r>
          </w:hyperlink>
        </w:p>
        <w:p w:rsidR="002C68C8" w:rsidRDefault="0080036A">
          <w:pPr>
            <w:pStyle w:val="TM2"/>
            <w:rPr>
              <w:rFonts w:asciiTheme="minorHAnsi" w:eastAsiaTheme="minorEastAsia" w:hAnsiTheme="minorHAnsi"/>
              <w:noProof/>
              <w:lang w:eastAsia="fr-FR"/>
            </w:rPr>
          </w:pPr>
          <w:hyperlink w:anchor="_Toc93658853" w:history="1">
            <w:r w:rsidR="002C68C8" w:rsidRPr="00117D33">
              <w:rPr>
                <w:rStyle w:val="Lienhypertexte"/>
                <w:noProof/>
              </w:rPr>
              <w:t>1.5.</w:t>
            </w:r>
            <w:r w:rsidR="002C68C8">
              <w:rPr>
                <w:rFonts w:asciiTheme="minorHAnsi" w:eastAsiaTheme="minorEastAsia" w:hAnsiTheme="minorHAnsi"/>
                <w:noProof/>
                <w:lang w:eastAsia="fr-FR"/>
              </w:rPr>
              <w:tab/>
            </w:r>
            <w:r w:rsidR="002C68C8" w:rsidRPr="00117D33">
              <w:rPr>
                <w:rStyle w:val="Lienhypertexte"/>
                <w:noProof/>
              </w:rPr>
              <w:t>Contractualisation</w:t>
            </w:r>
            <w:r w:rsidR="002C68C8">
              <w:rPr>
                <w:noProof/>
                <w:webHidden/>
              </w:rPr>
              <w:tab/>
            </w:r>
            <w:r w:rsidR="00BA4D68">
              <w:rPr>
                <w:noProof/>
                <w:webHidden/>
              </w:rPr>
              <w:fldChar w:fldCharType="begin"/>
            </w:r>
            <w:r w:rsidR="002C68C8">
              <w:rPr>
                <w:noProof/>
                <w:webHidden/>
              </w:rPr>
              <w:instrText xml:space="preserve"> PAGEREF _Toc93658853 \h </w:instrText>
            </w:r>
            <w:r w:rsidR="00BA4D68">
              <w:rPr>
                <w:noProof/>
                <w:webHidden/>
              </w:rPr>
            </w:r>
            <w:r w:rsidR="00BA4D68">
              <w:rPr>
                <w:noProof/>
                <w:webHidden/>
              </w:rPr>
              <w:fldChar w:fldCharType="separate"/>
            </w:r>
            <w:r w:rsidR="002C68C8">
              <w:rPr>
                <w:noProof/>
                <w:webHidden/>
              </w:rPr>
              <w:t>4</w:t>
            </w:r>
            <w:r w:rsidR="00BA4D68">
              <w:rPr>
                <w:noProof/>
                <w:webHidden/>
              </w:rPr>
              <w:fldChar w:fldCharType="end"/>
            </w:r>
          </w:hyperlink>
        </w:p>
        <w:p w:rsidR="002C68C8" w:rsidRDefault="0080036A">
          <w:pPr>
            <w:pStyle w:val="TM2"/>
            <w:rPr>
              <w:rFonts w:asciiTheme="minorHAnsi" w:eastAsiaTheme="minorEastAsia" w:hAnsiTheme="minorHAnsi"/>
              <w:noProof/>
              <w:lang w:eastAsia="fr-FR"/>
            </w:rPr>
          </w:pPr>
          <w:hyperlink w:anchor="_Toc93658854" w:history="1">
            <w:r w:rsidR="002C68C8" w:rsidRPr="00117D33">
              <w:rPr>
                <w:rStyle w:val="Lienhypertexte"/>
                <w:noProof/>
              </w:rPr>
              <w:t>1.6.</w:t>
            </w:r>
            <w:r w:rsidR="002C68C8">
              <w:rPr>
                <w:rFonts w:asciiTheme="minorHAnsi" w:eastAsiaTheme="minorEastAsia" w:hAnsiTheme="minorHAnsi"/>
                <w:noProof/>
                <w:lang w:eastAsia="fr-FR"/>
              </w:rPr>
              <w:tab/>
            </w:r>
            <w:r w:rsidR="002C68C8" w:rsidRPr="00117D33">
              <w:rPr>
                <w:rStyle w:val="Lienhypertexte"/>
                <w:noProof/>
              </w:rPr>
              <w:t>Références des consultants</w:t>
            </w:r>
            <w:r w:rsidR="002C68C8">
              <w:rPr>
                <w:noProof/>
                <w:webHidden/>
              </w:rPr>
              <w:tab/>
            </w:r>
            <w:r w:rsidR="00BA4D68">
              <w:rPr>
                <w:noProof/>
                <w:webHidden/>
              </w:rPr>
              <w:fldChar w:fldCharType="begin"/>
            </w:r>
            <w:r w:rsidR="002C68C8">
              <w:rPr>
                <w:noProof/>
                <w:webHidden/>
              </w:rPr>
              <w:instrText xml:space="preserve"> PAGEREF _Toc93658854 \h </w:instrText>
            </w:r>
            <w:r w:rsidR="00BA4D68">
              <w:rPr>
                <w:noProof/>
                <w:webHidden/>
              </w:rPr>
            </w:r>
            <w:r w:rsidR="00BA4D68">
              <w:rPr>
                <w:noProof/>
                <w:webHidden/>
              </w:rPr>
              <w:fldChar w:fldCharType="separate"/>
            </w:r>
            <w:r w:rsidR="002C68C8">
              <w:rPr>
                <w:noProof/>
                <w:webHidden/>
              </w:rPr>
              <w:t>4</w:t>
            </w:r>
            <w:r w:rsidR="00BA4D68">
              <w:rPr>
                <w:noProof/>
                <w:webHidden/>
              </w:rPr>
              <w:fldChar w:fldCharType="end"/>
            </w:r>
          </w:hyperlink>
        </w:p>
        <w:p w:rsidR="002C68C8" w:rsidRDefault="0080036A">
          <w:pPr>
            <w:pStyle w:val="TM1"/>
            <w:rPr>
              <w:rFonts w:asciiTheme="minorHAnsi" w:eastAsiaTheme="minorEastAsia" w:hAnsiTheme="minorHAnsi"/>
              <w:b w:val="0"/>
              <w:lang w:eastAsia="fr-FR"/>
            </w:rPr>
          </w:pPr>
          <w:hyperlink w:anchor="_Toc93658855" w:history="1">
            <w:r w:rsidR="002C68C8" w:rsidRPr="00117D33">
              <w:rPr>
                <w:rStyle w:val="Lienhypertexte"/>
              </w:rPr>
              <w:t>2.</w:t>
            </w:r>
            <w:r w:rsidR="002C68C8">
              <w:rPr>
                <w:rFonts w:asciiTheme="minorHAnsi" w:eastAsiaTheme="minorEastAsia" w:hAnsiTheme="minorHAnsi"/>
                <w:b w:val="0"/>
                <w:lang w:eastAsia="fr-FR"/>
              </w:rPr>
              <w:tab/>
            </w:r>
            <w:r w:rsidR="002C68C8" w:rsidRPr="00117D33">
              <w:rPr>
                <w:rStyle w:val="Lienhypertexte"/>
              </w:rPr>
              <w:t>Termes de référence</w:t>
            </w:r>
            <w:r w:rsidR="002C68C8">
              <w:rPr>
                <w:webHidden/>
              </w:rPr>
              <w:tab/>
            </w:r>
            <w:r w:rsidR="00BA4D68">
              <w:rPr>
                <w:webHidden/>
              </w:rPr>
              <w:fldChar w:fldCharType="begin"/>
            </w:r>
            <w:r w:rsidR="002C68C8">
              <w:rPr>
                <w:webHidden/>
              </w:rPr>
              <w:instrText xml:space="preserve"> PAGEREF _Toc93658855 \h </w:instrText>
            </w:r>
            <w:r w:rsidR="00BA4D68">
              <w:rPr>
                <w:webHidden/>
              </w:rPr>
            </w:r>
            <w:r w:rsidR="00BA4D68">
              <w:rPr>
                <w:webHidden/>
              </w:rPr>
              <w:fldChar w:fldCharType="separate"/>
            </w:r>
            <w:r w:rsidR="002C68C8">
              <w:rPr>
                <w:webHidden/>
              </w:rPr>
              <w:t>5</w:t>
            </w:r>
            <w:r w:rsidR="00BA4D68">
              <w:rPr>
                <w:webHidden/>
              </w:rPr>
              <w:fldChar w:fldCharType="end"/>
            </w:r>
          </w:hyperlink>
        </w:p>
        <w:p w:rsidR="002C68C8" w:rsidRDefault="0080036A">
          <w:pPr>
            <w:pStyle w:val="TM2"/>
            <w:rPr>
              <w:rFonts w:asciiTheme="minorHAnsi" w:eastAsiaTheme="minorEastAsia" w:hAnsiTheme="minorHAnsi"/>
              <w:noProof/>
              <w:lang w:eastAsia="fr-FR"/>
            </w:rPr>
          </w:pPr>
          <w:hyperlink w:anchor="_Toc93658856" w:history="1">
            <w:r w:rsidR="002C68C8" w:rsidRPr="00117D33">
              <w:rPr>
                <w:rStyle w:val="Lienhypertexte"/>
                <w:noProof/>
              </w:rPr>
              <w:t>2.1.</w:t>
            </w:r>
            <w:r w:rsidR="002C68C8">
              <w:rPr>
                <w:rFonts w:asciiTheme="minorHAnsi" w:eastAsiaTheme="minorEastAsia" w:hAnsiTheme="minorHAnsi"/>
                <w:noProof/>
                <w:lang w:eastAsia="fr-FR"/>
              </w:rPr>
              <w:tab/>
            </w:r>
            <w:r w:rsidR="002C68C8" w:rsidRPr="00117D33">
              <w:rPr>
                <w:rStyle w:val="Lienhypertexte"/>
                <w:noProof/>
              </w:rPr>
              <w:t>Contexte :</w:t>
            </w:r>
            <w:r w:rsidR="002C68C8">
              <w:rPr>
                <w:noProof/>
                <w:webHidden/>
              </w:rPr>
              <w:tab/>
            </w:r>
            <w:r w:rsidR="00BA4D68">
              <w:rPr>
                <w:noProof/>
                <w:webHidden/>
              </w:rPr>
              <w:fldChar w:fldCharType="begin"/>
            </w:r>
            <w:r w:rsidR="002C68C8">
              <w:rPr>
                <w:noProof/>
                <w:webHidden/>
              </w:rPr>
              <w:instrText xml:space="preserve"> PAGEREF _Toc93658856 \h </w:instrText>
            </w:r>
            <w:r w:rsidR="00BA4D68">
              <w:rPr>
                <w:noProof/>
                <w:webHidden/>
              </w:rPr>
            </w:r>
            <w:r w:rsidR="00BA4D68">
              <w:rPr>
                <w:noProof/>
                <w:webHidden/>
              </w:rPr>
              <w:fldChar w:fldCharType="separate"/>
            </w:r>
            <w:r w:rsidR="002C68C8">
              <w:rPr>
                <w:noProof/>
                <w:webHidden/>
              </w:rPr>
              <w:t>5</w:t>
            </w:r>
            <w:r w:rsidR="00BA4D68">
              <w:rPr>
                <w:noProof/>
                <w:webHidden/>
              </w:rPr>
              <w:fldChar w:fldCharType="end"/>
            </w:r>
          </w:hyperlink>
        </w:p>
        <w:p w:rsidR="002C68C8" w:rsidRDefault="0080036A">
          <w:pPr>
            <w:pStyle w:val="TM2"/>
            <w:rPr>
              <w:rFonts w:asciiTheme="minorHAnsi" w:eastAsiaTheme="minorEastAsia" w:hAnsiTheme="minorHAnsi"/>
              <w:noProof/>
              <w:lang w:eastAsia="fr-FR"/>
            </w:rPr>
          </w:pPr>
          <w:hyperlink w:anchor="_Toc93658857" w:history="1">
            <w:r w:rsidR="002C68C8" w:rsidRPr="00117D33">
              <w:rPr>
                <w:rStyle w:val="Lienhypertexte"/>
                <w:noProof/>
              </w:rPr>
              <w:t>2.2.</w:t>
            </w:r>
            <w:r w:rsidR="002C68C8">
              <w:rPr>
                <w:rFonts w:asciiTheme="minorHAnsi" w:eastAsiaTheme="minorEastAsia" w:hAnsiTheme="minorHAnsi"/>
                <w:noProof/>
                <w:lang w:eastAsia="fr-FR"/>
              </w:rPr>
              <w:tab/>
            </w:r>
            <w:r w:rsidR="002C68C8" w:rsidRPr="00117D33">
              <w:rPr>
                <w:rStyle w:val="Lienhypertexte"/>
                <w:noProof/>
              </w:rPr>
              <w:t>Objectifs de l’action et stratégie d’intervention</w:t>
            </w:r>
            <w:r w:rsidR="002C68C8">
              <w:rPr>
                <w:noProof/>
                <w:webHidden/>
              </w:rPr>
              <w:tab/>
            </w:r>
            <w:r w:rsidR="00BA4D68">
              <w:rPr>
                <w:noProof/>
                <w:webHidden/>
              </w:rPr>
              <w:fldChar w:fldCharType="begin"/>
            </w:r>
            <w:r w:rsidR="002C68C8">
              <w:rPr>
                <w:noProof/>
                <w:webHidden/>
              </w:rPr>
              <w:instrText xml:space="preserve"> PAGEREF _Toc93658857 \h </w:instrText>
            </w:r>
            <w:r w:rsidR="00BA4D68">
              <w:rPr>
                <w:noProof/>
                <w:webHidden/>
              </w:rPr>
            </w:r>
            <w:r w:rsidR="00BA4D68">
              <w:rPr>
                <w:noProof/>
                <w:webHidden/>
              </w:rPr>
              <w:fldChar w:fldCharType="separate"/>
            </w:r>
            <w:r w:rsidR="002C68C8">
              <w:rPr>
                <w:noProof/>
                <w:webHidden/>
              </w:rPr>
              <w:t>7</w:t>
            </w:r>
            <w:r w:rsidR="00BA4D68">
              <w:rPr>
                <w:noProof/>
                <w:webHidden/>
              </w:rPr>
              <w:fldChar w:fldCharType="end"/>
            </w:r>
          </w:hyperlink>
        </w:p>
        <w:p w:rsidR="002C68C8" w:rsidRDefault="0080036A">
          <w:pPr>
            <w:pStyle w:val="TM2"/>
            <w:rPr>
              <w:rFonts w:asciiTheme="minorHAnsi" w:eastAsiaTheme="minorEastAsia" w:hAnsiTheme="minorHAnsi"/>
              <w:noProof/>
              <w:lang w:eastAsia="fr-FR"/>
            </w:rPr>
          </w:pPr>
          <w:hyperlink w:anchor="_Toc93658858" w:history="1">
            <w:r w:rsidR="002C68C8" w:rsidRPr="00117D33">
              <w:rPr>
                <w:rStyle w:val="Lienhypertexte"/>
                <w:noProof/>
              </w:rPr>
              <w:t>2.3.</w:t>
            </w:r>
            <w:r w:rsidR="002C68C8">
              <w:rPr>
                <w:rFonts w:asciiTheme="minorHAnsi" w:eastAsiaTheme="minorEastAsia" w:hAnsiTheme="minorHAnsi"/>
                <w:noProof/>
                <w:lang w:eastAsia="fr-FR"/>
              </w:rPr>
              <w:tab/>
            </w:r>
            <w:r w:rsidR="002C68C8" w:rsidRPr="00117D33">
              <w:rPr>
                <w:rStyle w:val="Lienhypertexte"/>
                <w:noProof/>
              </w:rPr>
              <w:t>Objectifs et contenu de la prestation</w:t>
            </w:r>
            <w:r w:rsidR="002C68C8">
              <w:rPr>
                <w:noProof/>
                <w:webHidden/>
              </w:rPr>
              <w:tab/>
            </w:r>
            <w:r w:rsidR="00BA4D68">
              <w:rPr>
                <w:noProof/>
                <w:webHidden/>
              </w:rPr>
              <w:fldChar w:fldCharType="begin"/>
            </w:r>
            <w:r w:rsidR="002C68C8">
              <w:rPr>
                <w:noProof/>
                <w:webHidden/>
              </w:rPr>
              <w:instrText xml:space="preserve"> PAGEREF _Toc93658858 \h </w:instrText>
            </w:r>
            <w:r w:rsidR="00BA4D68">
              <w:rPr>
                <w:noProof/>
                <w:webHidden/>
              </w:rPr>
            </w:r>
            <w:r w:rsidR="00BA4D68">
              <w:rPr>
                <w:noProof/>
                <w:webHidden/>
              </w:rPr>
              <w:fldChar w:fldCharType="separate"/>
            </w:r>
            <w:r w:rsidR="002C68C8">
              <w:rPr>
                <w:noProof/>
                <w:webHidden/>
              </w:rPr>
              <w:t>7</w:t>
            </w:r>
            <w:r w:rsidR="00BA4D68">
              <w:rPr>
                <w:noProof/>
                <w:webHidden/>
              </w:rPr>
              <w:fldChar w:fldCharType="end"/>
            </w:r>
          </w:hyperlink>
        </w:p>
        <w:p w:rsidR="002C68C8" w:rsidRDefault="0080036A">
          <w:pPr>
            <w:pStyle w:val="TM3"/>
            <w:rPr>
              <w:rFonts w:asciiTheme="minorHAnsi" w:eastAsiaTheme="minorEastAsia" w:hAnsiTheme="minorHAnsi" w:cstheme="minorBidi"/>
              <w:i w:val="0"/>
              <w:sz w:val="22"/>
              <w:szCs w:val="22"/>
              <w:lang w:eastAsia="fr-FR"/>
            </w:rPr>
          </w:pPr>
          <w:hyperlink w:anchor="_Toc93658859" w:history="1">
            <w:r w:rsidR="002C68C8" w:rsidRPr="00117D33">
              <w:rPr>
                <w:rStyle w:val="Lienhypertexte"/>
              </w:rPr>
              <w:t>Capitalisations prévues</w:t>
            </w:r>
            <w:r w:rsidR="002C68C8">
              <w:rPr>
                <w:webHidden/>
              </w:rPr>
              <w:tab/>
            </w:r>
            <w:r w:rsidR="00BA4D68">
              <w:rPr>
                <w:webHidden/>
              </w:rPr>
              <w:fldChar w:fldCharType="begin"/>
            </w:r>
            <w:r w:rsidR="002C68C8">
              <w:rPr>
                <w:webHidden/>
              </w:rPr>
              <w:instrText xml:space="preserve"> PAGEREF _Toc93658859 \h </w:instrText>
            </w:r>
            <w:r w:rsidR="00BA4D68">
              <w:rPr>
                <w:webHidden/>
              </w:rPr>
            </w:r>
            <w:r w:rsidR="00BA4D68">
              <w:rPr>
                <w:webHidden/>
              </w:rPr>
              <w:fldChar w:fldCharType="separate"/>
            </w:r>
            <w:r w:rsidR="002C68C8">
              <w:rPr>
                <w:webHidden/>
              </w:rPr>
              <w:t>7</w:t>
            </w:r>
            <w:r w:rsidR="00BA4D68">
              <w:rPr>
                <w:webHidden/>
              </w:rPr>
              <w:fldChar w:fldCharType="end"/>
            </w:r>
          </w:hyperlink>
        </w:p>
        <w:p w:rsidR="002C68C8" w:rsidRDefault="0080036A">
          <w:pPr>
            <w:pStyle w:val="TM3"/>
            <w:rPr>
              <w:rFonts w:asciiTheme="minorHAnsi" w:eastAsiaTheme="minorEastAsia" w:hAnsiTheme="minorHAnsi" w:cstheme="minorBidi"/>
              <w:i w:val="0"/>
              <w:sz w:val="22"/>
              <w:szCs w:val="22"/>
              <w:lang w:eastAsia="fr-FR"/>
            </w:rPr>
          </w:pPr>
          <w:hyperlink w:anchor="_Toc93658860" w:history="1">
            <w:r w:rsidR="002C68C8" w:rsidRPr="00117D33">
              <w:rPr>
                <w:rStyle w:val="Lienhypertexte"/>
              </w:rPr>
              <w:t>Public-cible  :</w:t>
            </w:r>
            <w:r w:rsidR="002C68C8">
              <w:rPr>
                <w:webHidden/>
              </w:rPr>
              <w:tab/>
            </w:r>
            <w:r w:rsidR="00BA4D68">
              <w:rPr>
                <w:webHidden/>
              </w:rPr>
              <w:fldChar w:fldCharType="begin"/>
            </w:r>
            <w:r w:rsidR="002C68C8">
              <w:rPr>
                <w:webHidden/>
              </w:rPr>
              <w:instrText xml:space="preserve"> PAGEREF _Toc93658860 \h </w:instrText>
            </w:r>
            <w:r w:rsidR="00BA4D68">
              <w:rPr>
                <w:webHidden/>
              </w:rPr>
            </w:r>
            <w:r w:rsidR="00BA4D68">
              <w:rPr>
                <w:webHidden/>
              </w:rPr>
              <w:fldChar w:fldCharType="separate"/>
            </w:r>
            <w:r w:rsidR="002C68C8">
              <w:rPr>
                <w:webHidden/>
              </w:rPr>
              <w:t>8</w:t>
            </w:r>
            <w:r w:rsidR="00BA4D68">
              <w:rPr>
                <w:webHidden/>
              </w:rPr>
              <w:fldChar w:fldCharType="end"/>
            </w:r>
          </w:hyperlink>
        </w:p>
        <w:p w:rsidR="002C68C8" w:rsidRDefault="0080036A">
          <w:pPr>
            <w:pStyle w:val="TM3"/>
            <w:rPr>
              <w:rFonts w:asciiTheme="minorHAnsi" w:eastAsiaTheme="minorEastAsia" w:hAnsiTheme="minorHAnsi" w:cstheme="minorBidi"/>
              <w:i w:val="0"/>
              <w:sz w:val="22"/>
              <w:szCs w:val="22"/>
              <w:lang w:eastAsia="fr-FR"/>
            </w:rPr>
          </w:pPr>
          <w:hyperlink w:anchor="_Toc93658861" w:history="1">
            <w:r w:rsidR="002C68C8" w:rsidRPr="00117D33">
              <w:rPr>
                <w:rStyle w:val="Lienhypertexte"/>
              </w:rPr>
              <w:t>Pilotage et animation</w:t>
            </w:r>
            <w:r w:rsidR="002C68C8">
              <w:rPr>
                <w:webHidden/>
              </w:rPr>
              <w:tab/>
            </w:r>
            <w:r w:rsidR="00BA4D68">
              <w:rPr>
                <w:webHidden/>
              </w:rPr>
              <w:fldChar w:fldCharType="begin"/>
            </w:r>
            <w:r w:rsidR="002C68C8">
              <w:rPr>
                <w:webHidden/>
              </w:rPr>
              <w:instrText xml:space="preserve"> PAGEREF _Toc93658861 \h </w:instrText>
            </w:r>
            <w:r w:rsidR="00BA4D68">
              <w:rPr>
                <w:webHidden/>
              </w:rPr>
            </w:r>
            <w:r w:rsidR="00BA4D68">
              <w:rPr>
                <w:webHidden/>
              </w:rPr>
              <w:fldChar w:fldCharType="separate"/>
            </w:r>
            <w:r w:rsidR="002C68C8">
              <w:rPr>
                <w:webHidden/>
              </w:rPr>
              <w:t>8</w:t>
            </w:r>
            <w:r w:rsidR="00BA4D68">
              <w:rPr>
                <w:webHidden/>
              </w:rPr>
              <w:fldChar w:fldCharType="end"/>
            </w:r>
          </w:hyperlink>
        </w:p>
        <w:p w:rsidR="002C68C8" w:rsidRDefault="0080036A">
          <w:pPr>
            <w:pStyle w:val="TM1"/>
            <w:rPr>
              <w:rFonts w:asciiTheme="minorHAnsi" w:eastAsiaTheme="minorEastAsia" w:hAnsiTheme="minorHAnsi"/>
              <w:b w:val="0"/>
              <w:lang w:eastAsia="fr-FR"/>
            </w:rPr>
          </w:pPr>
          <w:hyperlink w:anchor="_Toc93658862" w:history="1">
            <w:r w:rsidR="002C68C8" w:rsidRPr="00117D33">
              <w:rPr>
                <w:rStyle w:val="Lienhypertexte"/>
              </w:rPr>
              <w:t>3.</w:t>
            </w:r>
            <w:r w:rsidR="002C68C8">
              <w:rPr>
                <w:rFonts w:asciiTheme="minorHAnsi" w:eastAsiaTheme="minorEastAsia" w:hAnsiTheme="minorHAnsi"/>
                <w:b w:val="0"/>
                <w:lang w:eastAsia="fr-FR"/>
              </w:rPr>
              <w:tab/>
            </w:r>
            <w:r w:rsidR="002C68C8" w:rsidRPr="00117D33">
              <w:rPr>
                <w:rStyle w:val="Lienhypertexte"/>
              </w:rPr>
              <w:t>Démarche méthodologique et organisation de la prestation</w:t>
            </w:r>
            <w:r w:rsidR="002C68C8">
              <w:rPr>
                <w:webHidden/>
              </w:rPr>
              <w:tab/>
            </w:r>
            <w:r w:rsidR="00BA4D68">
              <w:rPr>
                <w:webHidden/>
              </w:rPr>
              <w:fldChar w:fldCharType="begin"/>
            </w:r>
            <w:r w:rsidR="002C68C8">
              <w:rPr>
                <w:webHidden/>
              </w:rPr>
              <w:instrText xml:space="preserve"> PAGEREF _Toc93658862 \h </w:instrText>
            </w:r>
            <w:r w:rsidR="00BA4D68">
              <w:rPr>
                <w:webHidden/>
              </w:rPr>
            </w:r>
            <w:r w:rsidR="00BA4D68">
              <w:rPr>
                <w:webHidden/>
              </w:rPr>
              <w:fldChar w:fldCharType="separate"/>
            </w:r>
            <w:r w:rsidR="002C68C8">
              <w:rPr>
                <w:webHidden/>
              </w:rPr>
              <w:t>8</w:t>
            </w:r>
            <w:r w:rsidR="00BA4D68">
              <w:rPr>
                <w:webHidden/>
              </w:rPr>
              <w:fldChar w:fldCharType="end"/>
            </w:r>
          </w:hyperlink>
        </w:p>
        <w:p w:rsidR="002C68C8" w:rsidRDefault="0080036A">
          <w:pPr>
            <w:pStyle w:val="TM2"/>
            <w:rPr>
              <w:rFonts w:asciiTheme="minorHAnsi" w:eastAsiaTheme="minorEastAsia" w:hAnsiTheme="minorHAnsi"/>
              <w:noProof/>
              <w:lang w:eastAsia="fr-FR"/>
            </w:rPr>
          </w:pPr>
          <w:hyperlink w:anchor="_Toc93658863" w:history="1">
            <w:r w:rsidR="002C68C8" w:rsidRPr="00117D33">
              <w:rPr>
                <w:rStyle w:val="Lienhypertexte"/>
                <w:noProof/>
              </w:rPr>
              <w:t>3.1.</w:t>
            </w:r>
            <w:r w:rsidR="002C68C8">
              <w:rPr>
                <w:rFonts w:asciiTheme="minorHAnsi" w:eastAsiaTheme="minorEastAsia" w:hAnsiTheme="minorHAnsi"/>
                <w:noProof/>
                <w:lang w:eastAsia="fr-FR"/>
              </w:rPr>
              <w:tab/>
            </w:r>
            <w:r w:rsidR="002C68C8" w:rsidRPr="00117D33">
              <w:rPr>
                <w:rStyle w:val="Lienhypertexte"/>
                <w:noProof/>
              </w:rPr>
              <w:t>Méthodologie</w:t>
            </w:r>
            <w:r w:rsidR="002C68C8">
              <w:rPr>
                <w:noProof/>
                <w:webHidden/>
              </w:rPr>
              <w:tab/>
            </w:r>
            <w:r w:rsidR="00BA4D68">
              <w:rPr>
                <w:noProof/>
                <w:webHidden/>
              </w:rPr>
              <w:fldChar w:fldCharType="begin"/>
            </w:r>
            <w:r w:rsidR="002C68C8">
              <w:rPr>
                <w:noProof/>
                <w:webHidden/>
              </w:rPr>
              <w:instrText xml:space="preserve"> PAGEREF _Toc93658863 \h </w:instrText>
            </w:r>
            <w:r w:rsidR="00BA4D68">
              <w:rPr>
                <w:noProof/>
                <w:webHidden/>
              </w:rPr>
            </w:r>
            <w:r w:rsidR="00BA4D68">
              <w:rPr>
                <w:noProof/>
                <w:webHidden/>
              </w:rPr>
              <w:fldChar w:fldCharType="separate"/>
            </w:r>
            <w:r w:rsidR="002C68C8">
              <w:rPr>
                <w:noProof/>
                <w:webHidden/>
              </w:rPr>
              <w:t>8</w:t>
            </w:r>
            <w:r w:rsidR="00BA4D68">
              <w:rPr>
                <w:noProof/>
                <w:webHidden/>
              </w:rPr>
              <w:fldChar w:fldCharType="end"/>
            </w:r>
          </w:hyperlink>
        </w:p>
        <w:p w:rsidR="002C68C8" w:rsidRDefault="0080036A">
          <w:pPr>
            <w:pStyle w:val="TM3"/>
            <w:rPr>
              <w:rFonts w:asciiTheme="minorHAnsi" w:eastAsiaTheme="minorEastAsia" w:hAnsiTheme="minorHAnsi" w:cstheme="minorBidi"/>
              <w:i w:val="0"/>
              <w:sz w:val="22"/>
              <w:szCs w:val="22"/>
              <w:lang w:eastAsia="fr-FR"/>
            </w:rPr>
          </w:pPr>
          <w:hyperlink w:anchor="_Toc93658864" w:history="1">
            <w:r w:rsidR="002C68C8" w:rsidRPr="00117D33">
              <w:rPr>
                <w:rStyle w:val="Lienhypertexte"/>
              </w:rPr>
              <w:t>Méthodologie générale avec des points d’attention différents pour chaque capitalisation</w:t>
            </w:r>
            <w:r w:rsidR="002C68C8">
              <w:rPr>
                <w:webHidden/>
              </w:rPr>
              <w:tab/>
            </w:r>
            <w:r w:rsidR="00BA4D68">
              <w:rPr>
                <w:webHidden/>
              </w:rPr>
              <w:fldChar w:fldCharType="begin"/>
            </w:r>
            <w:r w:rsidR="002C68C8">
              <w:rPr>
                <w:webHidden/>
              </w:rPr>
              <w:instrText xml:space="preserve"> PAGEREF _Toc93658864 \h </w:instrText>
            </w:r>
            <w:r w:rsidR="00BA4D68">
              <w:rPr>
                <w:webHidden/>
              </w:rPr>
            </w:r>
            <w:r w:rsidR="00BA4D68">
              <w:rPr>
                <w:webHidden/>
              </w:rPr>
              <w:fldChar w:fldCharType="separate"/>
            </w:r>
            <w:r w:rsidR="002C68C8">
              <w:rPr>
                <w:webHidden/>
              </w:rPr>
              <w:t>9</w:t>
            </w:r>
            <w:r w:rsidR="00BA4D68">
              <w:rPr>
                <w:webHidden/>
              </w:rPr>
              <w:fldChar w:fldCharType="end"/>
            </w:r>
          </w:hyperlink>
        </w:p>
        <w:p w:rsidR="002C68C8" w:rsidRDefault="0080036A">
          <w:pPr>
            <w:pStyle w:val="TM3"/>
            <w:rPr>
              <w:rFonts w:asciiTheme="minorHAnsi" w:eastAsiaTheme="minorEastAsia" w:hAnsiTheme="minorHAnsi" w:cstheme="minorBidi"/>
              <w:i w:val="0"/>
              <w:sz w:val="22"/>
              <w:szCs w:val="22"/>
              <w:lang w:eastAsia="fr-FR"/>
            </w:rPr>
          </w:pPr>
          <w:hyperlink w:anchor="_Toc93658865" w:history="1">
            <w:r w:rsidR="002C68C8" w:rsidRPr="00117D33">
              <w:rPr>
                <w:rStyle w:val="Lienhypertexte"/>
              </w:rPr>
              <w:t>Pour la mission</w:t>
            </w:r>
            <w:r w:rsidR="002C68C8">
              <w:rPr>
                <w:webHidden/>
              </w:rPr>
              <w:tab/>
            </w:r>
            <w:r w:rsidR="00BA4D68">
              <w:rPr>
                <w:webHidden/>
              </w:rPr>
              <w:fldChar w:fldCharType="begin"/>
            </w:r>
            <w:r w:rsidR="002C68C8">
              <w:rPr>
                <w:webHidden/>
              </w:rPr>
              <w:instrText xml:space="preserve"> PAGEREF _Toc93658865 \h </w:instrText>
            </w:r>
            <w:r w:rsidR="00BA4D68">
              <w:rPr>
                <w:webHidden/>
              </w:rPr>
            </w:r>
            <w:r w:rsidR="00BA4D68">
              <w:rPr>
                <w:webHidden/>
              </w:rPr>
              <w:fldChar w:fldCharType="separate"/>
            </w:r>
            <w:r w:rsidR="002C68C8">
              <w:rPr>
                <w:webHidden/>
              </w:rPr>
              <w:t>9</w:t>
            </w:r>
            <w:r w:rsidR="00BA4D68">
              <w:rPr>
                <w:webHidden/>
              </w:rPr>
              <w:fldChar w:fldCharType="end"/>
            </w:r>
          </w:hyperlink>
        </w:p>
        <w:p w:rsidR="002C68C8" w:rsidRDefault="0080036A">
          <w:pPr>
            <w:pStyle w:val="TM2"/>
            <w:rPr>
              <w:rFonts w:asciiTheme="minorHAnsi" w:eastAsiaTheme="minorEastAsia" w:hAnsiTheme="minorHAnsi"/>
              <w:noProof/>
              <w:lang w:eastAsia="fr-FR"/>
            </w:rPr>
          </w:pPr>
          <w:hyperlink w:anchor="_Toc93658866" w:history="1">
            <w:r w:rsidR="002C68C8" w:rsidRPr="00117D33">
              <w:rPr>
                <w:rStyle w:val="Lienhypertexte"/>
                <w:noProof/>
              </w:rPr>
              <w:t>3.2.</w:t>
            </w:r>
            <w:r w:rsidR="002C68C8">
              <w:rPr>
                <w:rFonts w:asciiTheme="minorHAnsi" w:eastAsiaTheme="minorEastAsia" w:hAnsiTheme="minorHAnsi"/>
                <w:noProof/>
                <w:lang w:eastAsia="fr-FR"/>
              </w:rPr>
              <w:tab/>
            </w:r>
            <w:r w:rsidR="002C68C8" w:rsidRPr="00117D33">
              <w:rPr>
                <w:rStyle w:val="Lienhypertexte"/>
                <w:noProof/>
              </w:rPr>
              <w:t>Restitutions et rapports de capitalisation attendus</w:t>
            </w:r>
            <w:r w:rsidR="002C68C8">
              <w:rPr>
                <w:noProof/>
                <w:webHidden/>
              </w:rPr>
              <w:tab/>
            </w:r>
            <w:r w:rsidR="00BA4D68">
              <w:rPr>
                <w:noProof/>
                <w:webHidden/>
              </w:rPr>
              <w:fldChar w:fldCharType="begin"/>
            </w:r>
            <w:r w:rsidR="002C68C8">
              <w:rPr>
                <w:noProof/>
                <w:webHidden/>
              </w:rPr>
              <w:instrText xml:space="preserve"> PAGEREF _Toc93658866 \h </w:instrText>
            </w:r>
            <w:r w:rsidR="00BA4D68">
              <w:rPr>
                <w:noProof/>
                <w:webHidden/>
              </w:rPr>
            </w:r>
            <w:r w:rsidR="00BA4D68">
              <w:rPr>
                <w:noProof/>
                <w:webHidden/>
              </w:rPr>
              <w:fldChar w:fldCharType="separate"/>
            </w:r>
            <w:r w:rsidR="002C68C8">
              <w:rPr>
                <w:noProof/>
                <w:webHidden/>
              </w:rPr>
              <w:t>9</w:t>
            </w:r>
            <w:r w:rsidR="00BA4D68">
              <w:rPr>
                <w:noProof/>
                <w:webHidden/>
              </w:rPr>
              <w:fldChar w:fldCharType="end"/>
            </w:r>
          </w:hyperlink>
        </w:p>
        <w:p w:rsidR="002C68C8" w:rsidRDefault="0080036A">
          <w:pPr>
            <w:pStyle w:val="TM2"/>
            <w:rPr>
              <w:rFonts w:asciiTheme="minorHAnsi" w:eastAsiaTheme="minorEastAsia" w:hAnsiTheme="minorHAnsi"/>
              <w:noProof/>
              <w:lang w:eastAsia="fr-FR"/>
            </w:rPr>
          </w:pPr>
          <w:hyperlink w:anchor="_Toc93658867" w:history="1">
            <w:r w:rsidR="002C68C8" w:rsidRPr="00117D33">
              <w:rPr>
                <w:rStyle w:val="Lienhypertexte"/>
                <w:noProof/>
              </w:rPr>
              <w:t>3.3.</w:t>
            </w:r>
            <w:r w:rsidR="002C68C8">
              <w:rPr>
                <w:rFonts w:asciiTheme="minorHAnsi" w:eastAsiaTheme="minorEastAsia" w:hAnsiTheme="minorHAnsi"/>
                <w:noProof/>
                <w:lang w:eastAsia="fr-FR"/>
              </w:rPr>
              <w:tab/>
            </w:r>
            <w:r w:rsidR="002C68C8" w:rsidRPr="00117D33">
              <w:rPr>
                <w:rStyle w:val="Lienhypertexte"/>
                <w:noProof/>
              </w:rPr>
              <w:t>Plan de financement</w:t>
            </w:r>
            <w:r w:rsidR="002C68C8">
              <w:rPr>
                <w:noProof/>
                <w:webHidden/>
              </w:rPr>
              <w:tab/>
            </w:r>
            <w:r w:rsidR="00BA4D68">
              <w:rPr>
                <w:noProof/>
                <w:webHidden/>
              </w:rPr>
              <w:fldChar w:fldCharType="begin"/>
            </w:r>
            <w:r w:rsidR="002C68C8">
              <w:rPr>
                <w:noProof/>
                <w:webHidden/>
              </w:rPr>
              <w:instrText xml:space="preserve"> PAGEREF _Toc93658867 \h </w:instrText>
            </w:r>
            <w:r w:rsidR="00BA4D68">
              <w:rPr>
                <w:noProof/>
                <w:webHidden/>
              </w:rPr>
            </w:r>
            <w:r w:rsidR="00BA4D68">
              <w:rPr>
                <w:noProof/>
                <w:webHidden/>
              </w:rPr>
              <w:fldChar w:fldCharType="separate"/>
            </w:r>
            <w:r w:rsidR="002C68C8">
              <w:rPr>
                <w:noProof/>
                <w:webHidden/>
              </w:rPr>
              <w:t>9</w:t>
            </w:r>
            <w:r w:rsidR="00BA4D68">
              <w:rPr>
                <w:noProof/>
                <w:webHidden/>
              </w:rPr>
              <w:fldChar w:fldCharType="end"/>
            </w:r>
          </w:hyperlink>
        </w:p>
        <w:p w:rsidR="002C68C8" w:rsidRDefault="0080036A">
          <w:pPr>
            <w:pStyle w:val="TM2"/>
            <w:rPr>
              <w:rFonts w:asciiTheme="minorHAnsi" w:eastAsiaTheme="minorEastAsia" w:hAnsiTheme="minorHAnsi"/>
              <w:noProof/>
              <w:lang w:eastAsia="fr-FR"/>
            </w:rPr>
          </w:pPr>
          <w:hyperlink w:anchor="_Toc93658868" w:history="1">
            <w:r w:rsidR="002C68C8" w:rsidRPr="00117D33">
              <w:rPr>
                <w:rStyle w:val="Lienhypertexte"/>
                <w:noProof/>
              </w:rPr>
              <w:t>3.4.</w:t>
            </w:r>
            <w:r w:rsidR="002C68C8">
              <w:rPr>
                <w:rFonts w:asciiTheme="minorHAnsi" w:eastAsiaTheme="minorEastAsia" w:hAnsiTheme="minorHAnsi"/>
                <w:noProof/>
                <w:lang w:eastAsia="fr-FR"/>
              </w:rPr>
              <w:tab/>
            </w:r>
            <w:r w:rsidR="002C68C8" w:rsidRPr="00117D33">
              <w:rPr>
                <w:rStyle w:val="Lienhypertexte"/>
                <w:noProof/>
              </w:rPr>
              <w:t>Calendrier de réalisation des capitalisations</w:t>
            </w:r>
            <w:r w:rsidR="002C68C8">
              <w:rPr>
                <w:noProof/>
                <w:webHidden/>
              </w:rPr>
              <w:tab/>
            </w:r>
            <w:r w:rsidR="00BA4D68">
              <w:rPr>
                <w:noProof/>
                <w:webHidden/>
              </w:rPr>
              <w:fldChar w:fldCharType="begin"/>
            </w:r>
            <w:r w:rsidR="002C68C8">
              <w:rPr>
                <w:noProof/>
                <w:webHidden/>
              </w:rPr>
              <w:instrText xml:space="preserve"> PAGEREF _Toc93658868 \h </w:instrText>
            </w:r>
            <w:r w:rsidR="00BA4D68">
              <w:rPr>
                <w:noProof/>
                <w:webHidden/>
              </w:rPr>
            </w:r>
            <w:r w:rsidR="00BA4D68">
              <w:rPr>
                <w:noProof/>
                <w:webHidden/>
              </w:rPr>
              <w:fldChar w:fldCharType="separate"/>
            </w:r>
            <w:r w:rsidR="002C68C8">
              <w:rPr>
                <w:noProof/>
                <w:webHidden/>
              </w:rPr>
              <w:t>10</w:t>
            </w:r>
            <w:r w:rsidR="00BA4D68">
              <w:rPr>
                <w:noProof/>
                <w:webHidden/>
              </w:rPr>
              <w:fldChar w:fldCharType="end"/>
            </w:r>
          </w:hyperlink>
        </w:p>
        <w:p w:rsidR="00C142C9" w:rsidRDefault="00BA4D68" w:rsidP="00C142C9">
          <w:pPr>
            <w:pStyle w:val="TM2"/>
            <w:ind w:left="0"/>
            <w:rPr>
              <w:rFonts w:ascii="Calibri" w:hAnsi="Calibri" w:cstheme="minorHAnsi"/>
            </w:rPr>
          </w:pPr>
          <w:r w:rsidRPr="00BE5DDC">
            <w:rPr>
              <w:rFonts w:ascii="Calibri" w:hAnsi="Calibri" w:cstheme="minorHAnsi"/>
            </w:rPr>
            <w:fldChar w:fldCharType="end"/>
          </w:r>
        </w:p>
      </w:sdtContent>
    </w:sdt>
    <w:p w:rsidR="00C142C9" w:rsidRDefault="00C142C9" w:rsidP="00960CBD">
      <w:pPr>
        <w:rPr>
          <w:rFonts w:cstheme="minorHAnsi"/>
          <w:sz w:val="24"/>
          <w:szCs w:val="24"/>
        </w:rPr>
      </w:pPr>
    </w:p>
    <w:p w:rsidR="00F5185B" w:rsidRPr="00F5185B" w:rsidRDefault="00F5185B" w:rsidP="001B2009">
      <w:pPr>
        <w:pStyle w:val="Titre1"/>
        <w:keepNext w:val="0"/>
        <w:keepLines w:val="0"/>
        <w:numPr>
          <w:ilvl w:val="0"/>
          <w:numId w:val="8"/>
        </w:numPr>
        <w:shd w:val="clear" w:color="auto" w:fill="004990"/>
        <w:spacing w:before="120" w:line="240" w:lineRule="auto"/>
        <w:contextualSpacing/>
        <w:rPr>
          <w:color w:val="auto"/>
        </w:rPr>
      </w:pPr>
      <w:bookmarkStart w:id="0" w:name="_Toc93658848"/>
      <w:r w:rsidRPr="00F5185B">
        <w:rPr>
          <w:color w:val="auto"/>
        </w:rPr>
        <w:t xml:space="preserve">Informations </w:t>
      </w:r>
      <w:bookmarkStart w:id="1" w:name="_Toc501379898"/>
      <w:r w:rsidRPr="00F5185B">
        <w:rPr>
          <w:color w:val="auto"/>
        </w:rPr>
        <w:t>générales et Contenu de la proposition</w:t>
      </w:r>
      <w:bookmarkEnd w:id="1"/>
      <w:r w:rsidRPr="00F5185B">
        <w:rPr>
          <w:color w:val="auto"/>
        </w:rPr>
        <w:t xml:space="preserve"> technique et financière</w:t>
      </w:r>
      <w:bookmarkEnd w:id="0"/>
    </w:p>
    <w:p w:rsidR="00C142C9" w:rsidRPr="00F5185B" w:rsidRDefault="00C142C9" w:rsidP="00960CBD">
      <w:pPr>
        <w:rPr>
          <w:rFonts w:cstheme="minorHAnsi"/>
          <w:sz w:val="24"/>
          <w:szCs w:val="24"/>
        </w:rPr>
      </w:pPr>
    </w:p>
    <w:p w:rsidR="00C142C9" w:rsidRPr="008E6630" w:rsidRDefault="00C142C9" w:rsidP="00A94D1F">
      <w:pPr>
        <w:pStyle w:val="Titre2"/>
      </w:pPr>
      <w:bookmarkStart w:id="2" w:name="_Toc189534928"/>
      <w:bookmarkStart w:id="3" w:name="_Toc191836236"/>
      <w:bookmarkStart w:id="4" w:name="_Toc228166978"/>
      <w:bookmarkStart w:id="5" w:name="_Toc93658849"/>
      <w:r w:rsidRPr="008E6630">
        <w:t>Introduction</w:t>
      </w:r>
      <w:bookmarkEnd w:id="2"/>
      <w:bookmarkEnd w:id="3"/>
      <w:bookmarkEnd w:id="4"/>
      <w:bookmarkEnd w:id="5"/>
    </w:p>
    <w:p w:rsidR="00C142C9" w:rsidRPr="00505681" w:rsidRDefault="00C142C9" w:rsidP="00C142C9">
      <w:r w:rsidRPr="00505681">
        <w:t xml:space="preserve">Les consultants sont invités à soumettre une proposition technique et une proposition financière </w:t>
      </w:r>
      <w:r w:rsidRPr="00505681">
        <w:rPr>
          <w:b/>
        </w:rPr>
        <w:t xml:space="preserve">au </w:t>
      </w:r>
      <w:r w:rsidRPr="00224785">
        <w:rPr>
          <w:b/>
        </w:rPr>
        <w:t xml:space="preserve">plus tard le </w:t>
      </w:r>
      <w:r w:rsidR="00F5185B">
        <w:rPr>
          <w:b/>
        </w:rPr>
        <w:t xml:space="preserve">mardi </w:t>
      </w:r>
      <w:r w:rsidR="00E804FF">
        <w:rPr>
          <w:b/>
        </w:rPr>
        <w:t>19 avril</w:t>
      </w:r>
      <w:r w:rsidR="00F5185B">
        <w:rPr>
          <w:b/>
        </w:rPr>
        <w:t xml:space="preserve"> 2022</w:t>
      </w:r>
      <w:r w:rsidRPr="00224785">
        <w:t>. Ces deux propositions constitueront les documents de référence</w:t>
      </w:r>
      <w:r w:rsidRPr="00505681">
        <w:t xml:space="preserve"> pour la sélection du soumissionnaire, la négociation du contrat puis sa signature entre le pS-Eau et le consultant retenu.</w:t>
      </w:r>
    </w:p>
    <w:p w:rsidR="00C142C9" w:rsidRPr="00505681" w:rsidRDefault="00C142C9" w:rsidP="00C142C9">
      <w:r w:rsidRPr="00505681">
        <w:t xml:space="preserve">Le </w:t>
      </w:r>
      <w:r w:rsidRPr="00505681">
        <w:rPr>
          <w:b/>
        </w:rPr>
        <w:t>montant maximal pour la réalisati</w:t>
      </w:r>
      <w:r w:rsidR="00F5185B">
        <w:rPr>
          <w:b/>
        </w:rPr>
        <w:t>on de cette prestation est de 54</w:t>
      </w:r>
      <w:r w:rsidRPr="00505681">
        <w:rPr>
          <w:b/>
        </w:rPr>
        <w:t> 000 Euros TTC</w:t>
      </w:r>
      <w:r w:rsidRPr="00505681">
        <w:t xml:space="preserve">. Le budget assure la prise en charge des honoraires du consultant ainsi que l’ensemble de ses frais de communication et de déplacements. Dans le cadre de la présente prestation, le consultant sera convié à restituer ses travaux en </w:t>
      </w:r>
      <w:r w:rsidR="00F5185B">
        <w:t>France à Paris et en région</w:t>
      </w:r>
      <w:r w:rsidRPr="00505681">
        <w:t xml:space="preserve">. </w:t>
      </w:r>
      <w:bookmarkStart w:id="6" w:name="_Toc245180310"/>
      <w:bookmarkStart w:id="7" w:name="_Toc273352032"/>
    </w:p>
    <w:bookmarkEnd w:id="6"/>
    <w:bookmarkEnd w:id="7"/>
    <w:p w:rsidR="00C142C9" w:rsidRDefault="00C142C9" w:rsidP="00C142C9">
      <w:r w:rsidRPr="00505681">
        <w:t>La réalisation de la prestation devra impérativement se faire selon le délai indiqué dans les termes de référence.</w:t>
      </w:r>
    </w:p>
    <w:p w:rsidR="00C142C9" w:rsidRPr="00A94D1F" w:rsidRDefault="00C142C9" w:rsidP="00A94D1F">
      <w:pPr>
        <w:pStyle w:val="Titre2"/>
      </w:pPr>
      <w:bookmarkStart w:id="8" w:name="_Toc189534929"/>
      <w:bookmarkStart w:id="9" w:name="_Toc191836237"/>
      <w:bookmarkStart w:id="10" w:name="_Toc228166979"/>
      <w:bookmarkStart w:id="11" w:name="_Toc93658850"/>
      <w:r w:rsidRPr="00A94D1F">
        <w:t>Clarification et corrections éventuelles apportées à l’appel à propositions</w:t>
      </w:r>
      <w:bookmarkEnd w:id="8"/>
      <w:bookmarkEnd w:id="9"/>
      <w:bookmarkEnd w:id="10"/>
      <w:bookmarkEnd w:id="11"/>
    </w:p>
    <w:p w:rsidR="00C142C9" w:rsidRPr="00505681" w:rsidRDefault="00C142C9" w:rsidP="00C142C9">
      <w:r w:rsidRPr="00505681">
        <w:lastRenderedPageBreak/>
        <w:t>Les consultants peuvent demander des clarifications sur les documents de l’appel à propositions en adressant leurs questions :</w:t>
      </w:r>
    </w:p>
    <w:p w:rsidR="00C142C9" w:rsidRPr="00505681" w:rsidRDefault="00C142C9" w:rsidP="00C142C9">
      <w:pPr>
        <w:jc w:val="center"/>
      </w:pPr>
      <w:r w:rsidRPr="00505681">
        <w:rPr>
          <w:b/>
          <w:bCs/>
        </w:rPr>
        <w:t xml:space="preserve">Pierre-Marie Grondin </w:t>
      </w:r>
      <w:r w:rsidRPr="00505681">
        <w:rPr>
          <w:b/>
          <w:bCs/>
        </w:rPr>
        <w:br/>
      </w:r>
      <w:r w:rsidRPr="00505681">
        <w:t>pS-Eau</w:t>
      </w:r>
      <w:r w:rsidRPr="00505681">
        <w:br/>
        <w:t>Tél. : 33 (0)</w:t>
      </w:r>
      <w:r w:rsidR="00F5185B">
        <w:t>6 09 43 71 25</w:t>
      </w:r>
      <w:r w:rsidRPr="00505681">
        <w:t xml:space="preserve"> </w:t>
      </w:r>
      <w:r w:rsidRPr="00505681">
        <w:br/>
        <w:t xml:space="preserve">E-mail : grondin@pseau.org </w:t>
      </w:r>
    </w:p>
    <w:p w:rsidR="00F5185B" w:rsidRDefault="00F5185B" w:rsidP="00C142C9">
      <w:r>
        <w:t xml:space="preserve">Ou </w:t>
      </w:r>
    </w:p>
    <w:p w:rsidR="00F5185B" w:rsidRPr="00F5185B" w:rsidRDefault="00F5185B" w:rsidP="00F5185B">
      <w:pPr>
        <w:jc w:val="center"/>
        <w:rPr>
          <w:b/>
          <w:bCs/>
        </w:rPr>
      </w:pPr>
      <w:r>
        <w:rPr>
          <w:b/>
          <w:bCs/>
        </w:rPr>
        <w:t xml:space="preserve">Hervé </w:t>
      </w:r>
      <w:r w:rsidRPr="00F5185B">
        <w:rPr>
          <w:b/>
          <w:bCs/>
        </w:rPr>
        <w:t>TRITSCHBERGER</w:t>
      </w:r>
    </w:p>
    <w:p w:rsidR="00F5185B" w:rsidRDefault="00F5185B" w:rsidP="00F5185B">
      <w:pPr>
        <w:jc w:val="center"/>
      </w:pPr>
      <w:r>
        <w:t xml:space="preserve">Gescod </w:t>
      </w:r>
    </w:p>
    <w:p w:rsidR="00F5185B" w:rsidRPr="00505681" w:rsidRDefault="00F5185B" w:rsidP="00F5185B">
      <w:pPr>
        <w:jc w:val="center"/>
      </w:pPr>
      <w:r w:rsidRPr="00505681">
        <w:t>Tél. : 33 (0)</w:t>
      </w:r>
      <w:r>
        <w:t>7 70 95 0120</w:t>
      </w:r>
      <w:r w:rsidRPr="00505681">
        <w:t xml:space="preserve"> </w:t>
      </w:r>
      <w:r w:rsidRPr="00505681">
        <w:br/>
        <w:t xml:space="preserve">E-mail : </w:t>
      </w:r>
      <w:r w:rsidRPr="00F5185B">
        <w:t>herve.tritschberger@gescod.org</w:t>
      </w:r>
    </w:p>
    <w:p w:rsidR="00F5185B" w:rsidRDefault="00F5185B" w:rsidP="00C142C9"/>
    <w:p w:rsidR="00F5185B" w:rsidRDefault="00F5185B" w:rsidP="00C142C9"/>
    <w:p w:rsidR="00C142C9" w:rsidRDefault="00C142C9" w:rsidP="00C142C9">
      <w:r w:rsidRPr="00505681">
        <w:t>Le pS-Eau pourra avant la date limite de soumission des propositions, de sa propre initiative ou en réponse à des questions de clarification, amender les documents de l’appel à propositions.</w:t>
      </w:r>
    </w:p>
    <w:p w:rsidR="00C142C9" w:rsidRPr="00A27C71" w:rsidRDefault="00C142C9" w:rsidP="00A94D1F">
      <w:pPr>
        <w:pStyle w:val="Titre2"/>
      </w:pPr>
      <w:bookmarkStart w:id="12" w:name="_Toc189534930"/>
      <w:bookmarkStart w:id="13" w:name="_Toc191836238"/>
      <w:bookmarkStart w:id="14" w:name="_Toc228166980"/>
      <w:bookmarkStart w:id="15" w:name="_Toc93658851"/>
      <w:r w:rsidRPr="00A27C71">
        <w:t>Format de la proposition</w:t>
      </w:r>
      <w:bookmarkEnd w:id="12"/>
      <w:bookmarkEnd w:id="13"/>
      <w:bookmarkEnd w:id="14"/>
      <w:bookmarkEnd w:id="15"/>
    </w:p>
    <w:p w:rsidR="00C142C9" w:rsidRPr="00505681" w:rsidRDefault="00C142C9" w:rsidP="00C142C9">
      <w:r w:rsidRPr="00505681">
        <w:t>Les consultants sont invités à soumettre leur proposition en français.</w:t>
      </w:r>
    </w:p>
    <w:p w:rsidR="00C142C9" w:rsidRPr="008E6630" w:rsidRDefault="00C142C9" w:rsidP="00C142C9">
      <w:pPr>
        <w:rPr>
          <w:u w:val="single"/>
        </w:rPr>
      </w:pPr>
      <w:bookmarkStart w:id="16" w:name="_Toc189534931"/>
      <w:bookmarkStart w:id="17" w:name="_Toc191836239"/>
      <w:bookmarkStart w:id="18" w:name="_Toc228166981"/>
      <w:bookmarkStart w:id="19" w:name="_Toc470003817"/>
      <w:bookmarkStart w:id="20" w:name="_Toc470004082"/>
      <w:bookmarkStart w:id="21" w:name="_Toc473123568"/>
      <w:bookmarkStart w:id="22" w:name="_Toc516002260"/>
      <w:r w:rsidRPr="008E6630">
        <w:rPr>
          <w:u w:val="single"/>
        </w:rPr>
        <w:t>Proposition technique</w:t>
      </w:r>
      <w:bookmarkEnd w:id="16"/>
      <w:bookmarkEnd w:id="17"/>
      <w:bookmarkEnd w:id="18"/>
      <w:bookmarkEnd w:id="19"/>
      <w:bookmarkEnd w:id="20"/>
      <w:bookmarkEnd w:id="21"/>
      <w:bookmarkEnd w:id="22"/>
    </w:p>
    <w:p w:rsidR="00C142C9" w:rsidRPr="00505681" w:rsidRDefault="00C142C9" w:rsidP="00C142C9">
      <w:r w:rsidRPr="00505681">
        <w:t>Pour la préparation de la proposition technique, les consultants sont invités à examiner en détail l’ensemble des documents constituant le dossier d’appel à propositions.</w:t>
      </w:r>
    </w:p>
    <w:p w:rsidR="00C142C9" w:rsidRPr="00505681" w:rsidRDefault="00C142C9" w:rsidP="00C142C9">
      <w:r w:rsidRPr="00505681">
        <w:t>La proposition technique devra fournir les informations suivantes :</w:t>
      </w:r>
    </w:p>
    <w:p w:rsidR="00C142C9" w:rsidRDefault="00C142C9" w:rsidP="001B2009">
      <w:pPr>
        <w:pStyle w:val="Paragraphedeliste"/>
        <w:numPr>
          <w:ilvl w:val="0"/>
          <w:numId w:val="7"/>
        </w:numPr>
        <w:spacing w:before="120" w:after="0" w:line="240" w:lineRule="auto"/>
        <w:jc w:val="both"/>
      </w:pPr>
      <w:r w:rsidRPr="00505681">
        <w:t>Les références de l’organisme qui soumet la proposition et le(s) CV de l’(ou des) expert(s) proposé(s) par l’organisme</w:t>
      </w:r>
    </w:p>
    <w:p w:rsidR="00C142C9" w:rsidRPr="006466B1" w:rsidRDefault="00C142C9" w:rsidP="001B2009">
      <w:pPr>
        <w:pStyle w:val="Paragraphedeliste"/>
        <w:numPr>
          <w:ilvl w:val="0"/>
          <w:numId w:val="7"/>
        </w:numPr>
        <w:spacing w:before="120" w:after="0" w:line="240" w:lineRule="auto"/>
        <w:jc w:val="both"/>
      </w:pPr>
      <w:r w:rsidRPr="006466B1">
        <w:rPr>
          <w:i/>
        </w:rPr>
        <w:t xml:space="preserve">(optionnel) </w:t>
      </w:r>
      <w:r>
        <w:t>Les c</w:t>
      </w:r>
      <w:r w:rsidRPr="006466B1">
        <w:t xml:space="preserve">ommentaires et suggestions sur les termes de référence </w:t>
      </w:r>
      <w:r>
        <w:t>(2 pages max.)</w:t>
      </w:r>
    </w:p>
    <w:p w:rsidR="00C142C9" w:rsidRPr="00505681" w:rsidRDefault="00C142C9" w:rsidP="001B2009">
      <w:pPr>
        <w:pStyle w:val="Paragraphedeliste"/>
        <w:numPr>
          <w:ilvl w:val="0"/>
          <w:numId w:val="7"/>
        </w:numPr>
        <w:spacing w:before="120" w:after="0" w:line="240" w:lineRule="auto"/>
        <w:jc w:val="both"/>
      </w:pPr>
      <w:r w:rsidRPr="00505681">
        <w:t>Une description détaillée de la méthodologie et du plan de travail</w:t>
      </w:r>
      <w:r>
        <w:t> (5 pages maximum)</w:t>
      </w:r>
    </w:p>
    <w:p w:rsidR="00C142C9" w:rsidRPr="00505681" w:rsidRDefault="00C142C9" w:rsidP="001B2009">
      <w:pPr>
        <w:pStyle w:val="Paragraphedeliste"/>
        <w:numPr>
          <w:ilvl w:val="0"/>
          <w:numId w:val="7"/>
        </w:numPr>
        <w:spacing w:before="120" w:after="0" w:line="240" w:lineRule="auto"/>
        <w:jc w:val="both"/>
      </w:pPr>
      <w:r w:rsidRPr="00505681">
        <w:t>Toute autre information complémentaire jugée utile par le soumissionnaire.</w:t>
      </w:r>
    </w:p>
    <w:p w:rsidR="00C142C9" w:rsidRPr="008E6630" w:rsidRDefault="00C142C9" w:rsidP="00C142C9">
      <w:pPr>
        <w:rPr>
          <w:u w:val="single"/>
        </w:rPr>
      </w:pPr>
      <w:bookmarkStart w:id="23" w:name="_Toc189534932"/>
      <w:bookmarkStart w:id="24" w:name="_Toc191836240"/>
      <w:bookmarkStart w:id="25" w:name="_Toc228166982"/>
      <w:bookmarkStart w:id="26" w:name="_Toc470003818"/>
      <w:bookmarkStart w:id="27" w:name="_Toc470004083"/>
      <w:bookmarkStart w:id="28" w:name="_Toc473123569"/>
      <w:bookmarkStart w:id="29" w:name="_Toc516002261"/>
      <w:r w:rsidRPr="008E6630">
        <w:rPr>
          <w:u w:val="single"/>
        </w:rPr>
        <w:t>Proposition financière</w:t>
      </w:r>
      <w:bookmarkEnd w:id="23"/>
      <w:bookmarkEnd w:id="24"/>
      <w:bookmarkEnd w:id="25"/>
      <w:bookmarkEnd w:id="26"/>
      <w:bookmarkEnd w:id="27"/>
      <w:bookmarkEnd w:id="28"/>
      <w:bookmarkEnd w:id="29"/>
    </w:p>
    <w:p w:rsidR="00C142C9" w:rsidRPr="00505681" w:rsidRDefault="00C142C9" w:rsidP="00C142C9">
      <w:r w:rsidRPr="00505681">
        <w:t>Les données indiquées pour la durée de la prestation ne pourront être remises en cause après la date de soumission. Durant cette période, l’organisme doit rendre disponible le personnel proposé pour réaliser les activités.</w:t>
      </w:r>
    </w:p>
    <w:p w:rsidR="00C142C9" w:rsidRPr="00B750D5" w:rsidRDefault="00C142C9" w:rsidP="00C142C9">
      <w:r w:rsidRPr="00B750D5">
        <w:t>Le pS-Eau se réserve le droit, lors de l’examen des offres reçues, de demander au consultant de justifier la pertinence du nombre de jours affectés à une activité particulière.</w:t>
      </w:r>
    </w:p>
    <w:p w:rsidR="00C142C9" w:rsidRPr="00A94D1F" w:rsidRDefault="00C142C9" w:rsidP="00A94D1F">
      <w:pPr>
        <w:pStyle w:val="Titre2"/>
      </w:pPr>
      <w:bookmarkStart w:id="30" w:name="_Toc189534933"/>
      <w:bookmarkStart w:id="31" w:name="_Toc191836241"/>
      <w:bookmarkStart w:id="32" w:name="_Toc228166983"/>
      <w:bookmarkStart w:id="33" w:name="_Toc93658852"/>
      <w:r w:rsidRPr="00A94D1F">
        <w:t>Soumission de la proposition</w:t>
      </w:r>
      <w:bookmarkEnd w:id="30"/>
      <w:bookmarkEnd w:id="31"/>
      <w:bookmarkEnd w:id="32"/>
      <w:bookmarkEnd w:id="33"/>
    </w:p>
    <w:p w:rsidR="00C142C9" w:rsidRPr="00505681" w:rsidRDefault="00C142C9" w:rsidP="00C142C9">
      <w:pPr>
        <w:keepNext/>
        <w:jc w:val="center"/>
      </w:pPr>
      <w:r w:rsidRPr="00505681">
        <w:t xml:space="preserve">Les propositions techniques et financières doivent être transmises </w:t>
      </w:r>
      <w:r w:rsidRPr="00505681">
        <w:rPr>
          <w:b/>
        </w:rPr>
        <w:t>par e-mail</w:t>
      </w:r>
      <w:r w:rsidRPr="00505681">
        <w:t xml:space="preserve"> à :</w:t>
      </w:r>
    </w:p>
    <w:p w:rsidR="00C142C9" w:rsidRPr="00505681" w:rsidRDefault="00C142C9" w:rsidP="00C142C9">
      <w:pPr>
        <w:jc w:val="center"/>
        <w:rPr>
          <w:lang w:val="de-DE"/>
        </w:rPr>
      </w:pPr>
      <w:r w:rsidRPr="00505681">
        <w:t xml:space="preserve">Pierre-Marie Grondin </w:t>
      </w:r>
      <w:r w:rsidRPr="00B750D5">
        <w:rPr>
          <w:bCs/>
        </w:rPr>
        <w:t>et</w:t>
      </w:r>
      <w:r w:rsidRPr="00505681">
        <w:rPr>
          <w:b/>
          <w:bCs/>
        </w:rPr>
        <w:t xml:space="preserve"> </w:t>
      </w:r>
      <w:r w:rsidR="00F5185B">
        <w:t>Hervé Tritschberge</w:t>
      </w:r>
      <w:r>
        <w:t xml:space="preserve">- </w:t>
      </w:r>
      <w:r w:rsidRPr="00505681">
        <w:t>pS-Eau</w:t>
      </w:r>
      <w:r>
        <w:t xml:space="preserve"> : </w:t>
      </w:r>
      <w:hyperlink r:id="rId7" w:history="1">
        <w:r w:rsidRPr="00505681">
          <w:rPr>
            <w:rStyle w:val="Lienhypertexte"/>
            <w:rFonts w:cstheme="minorHAnsi"/>
            <w:lang w:val="de-DE"/>
          </w:rPr>
          <w:t>grondin@pseau.org</w:t>
        </w:r>
      </w:hyperlink>
      <w:r w:rsidRPr="00505681">
        <w:rPr>
          <w:lang w:val="de-DE"/>
        </w:rPr>
        <w:t xml:space="preserve"> et </w:t>
      </w:r>
      <w:r w:rsidR="00F5185B">
        <w:rPr>
          <w:lang w:val="de-DE"/>
        </w:rPr>
        <w:t xml:space="preserve">Gescod </w:t>
      </w:r>
      <w:r w:rsidR="00F5185B" w:rsidRPr="00F5185B">
        <w:t>herve.tritschberger@gescod.org</w:t>
      </w:r>
      <w:hyperlink r:id="rId8" w:history="1"/>
    </w:p>
    <w:p w:rsidR="00C142C9" w:rsidRPr="00CF25C5" w:rsidRDefault="00C142C9" w:rsidP="00C142C9">
      <w:pPr>
        <w:jc w:val="center"/>
      </w:pPr>
      <w:r w:rsidRPr="00224785">
        <w:rPr>
          <w:b/>
        </w:rPr>
        <w:t xml:space="preserve">Au plus tard : le </w:t>
      </w:r>
      <w:r w:rsidR="00F5185B">
        <w:rPr>
          <w:b/>
        </w:rPr>
        <w:t>mardi</w:t>
      </w:r>
      <w:r w:rsidRPr="00224785">
        <w:rPr>
          <w:b/>
        </w:rPr>
        <w:t xml:space="preserve"> </w:t>
      </w:r>
      <w:bookmarkStart w:id="34" w:name="_Toc189534934"/>
      <w:bookmarkStart w:id="35" w:name="_Toc191836242"/>
      <w:bookmarkStart w:id="36" w:name="_Toc228166984"/>
      <w:r w:rsidR="00E804FF">
        <w:rPr>
          <w:b/>
        </w:rPr>
        <w:t>19 avril</w:t>
      </w:r>
      <w:r w:rsidR="00F5185B">
        <w:rPr>
          <w:b/>
        </w:rPr>
        <w:t xml:space="preserve"> 2022</w:t>
      </w:r>
      <w:r>
        <w:rPr>
          <w:b/>
        </w:rPr>
        <w:t xml:space="preserve"> </w:t>
      </w:r>
      <w:bookmarkEnd w:id="34"/>
      <w:bookmarkEnd w:id="35"/>
      <w:bookmarkEnd w:id="36"/>
    </w:p>
    <w:p w:rsidR="00BB0B93" w:rsidRDefault="00BB0B93" w:rsidP="00BB0B93">
      <w:pPr>
        <w:pStyle w:val="Default"/>
        <w:rPr>
          <w:rFonts w:asciiTheme="minorHAnsi" w:hAnsiTheme="minorHAnsi" w:cstheme="minorHAnsi"/>
          <w:sz w:val="22"/>
          <w:szCs w:val="22"/>
        </w:rPr>
      </w:pPr>
      <w:bookmarkStart w:id="37" w:name="_Toc189534936"/>
      <w:bookmarkStart w:id="38" w:name="_Toc191836243"/>
      <w:bookmarkStart w:id="39" w:name="_Toc228166985"/>
    </w:p>
    <w:p w:rsidR="00BB0B93" w:rsidRPr="001E15D6" w:rsidRDefault="00BB0B93" w:rsidP="00BB0B93">
      <w:pPr>
        <w:pStyle w:val="Default"/>
        <w:rPr>
          <w:rFonts w:asciiTheme="minorHAnsi" w:hAnsiTheme="minorHAnsi" w:cstheme="minorHAnsi"/>
          <w:sz w:val="22"/>
          <w:szCs w:val="22"/>
        </w:rPr>
      </w:pPr>
      <w:r w:rsidRPr="00BB0B93">
        <w:rPr>
          <w:rFonts w:asciiTheme="minorHAnsi" w:hAnsiTheme="minorHAnsi" w:cstheme="minorHAnsi"/>
          <w:sz w:val="22"/>
          <w:szCs w:val="22"/>
        </w:rPr>
        <w:t>Il est demandé aux consultant·e</w:t>
      </w:r>
      <w:r w:rsidR="00A27C71">
        <w:rPr>
          <w:rFonts w:asciiTheme="minorHAnsi" w:hAnsiTheme="minorHAnsi" w:cstheme="minorHAnsi"/>
          <w:sz w:val="22"/>
          <w:szCs w:val="22"/>
        </w:rPr>
        <w:t xml:space="preserve">·s, dans leur offre de service </w:t>
      </w:r>
      <w:r w:rsidRPr="00BB0B93">
        <w:rPr>
          <w:rFonts w:asciiTheme="minorHAnsi" w:hAnsiTheme="minorHAnsi" w:cstheme="minorHAnsi"/>
          <w:sz w:val="22"/>
          <w:szCs w:val="22"/>
        </w:rPr>
        <w:t>de faire des propositions détaillées en ce qui concerne la méthodologie qu’ils ou elles se proposent de mettre en œuvre (étapes des capitalisations, acteurs et actrices consulté·e·s, réunions et restitutions, méthodologie et outils de collecte / traitement d’informations, documents produits, articulation avec le consortium). Si une équipe est proposée, les consultant·e·s proposeront également, dans leur offre de services, la répartition du nombre de jours de travail entre elles et eux aux différentes phases de l’appui, leurs rôles respectifs, et préciseront les modalités de coordination /communication / articulations entre elles et eux pour la réalisation de cette prestation.</w:t>
      </w:r>
    </w:p>
    <w:p w:rsidR="00BB0B93" w:rsidRPr="001E15D6" w:rsidRDefault="00BB0B93" w:rsidP="00BB0B93">
      <w:pPr>
        <w:pStyle w:val="Default"/>
        <w:rPr>
          <w:rFonts w:asciiTheme="minorHAnsi" w:hAnsiTheme="minorHAnsi" w:cstheme="minorHAnsi"/>
          <w:sz w:val="22"/>
          <w:szCs w:val="22"/>
        </w:rPr>
      </w:pPr>
    </w:p>
    <w:p w:rsidR="00BB0B93" w:rsidRPr="001E15D6" w:rsidRDefault="00BB0B93" w:rsidP="00BB0B93">
      <w:pPr>
        <w:pStyle w:val="Default"/>
        <w:rPr>
          <w:rFonts w:asciiTheme="minorHAnsi" w:hAnsiTheme="minorHAnsi" w:cstheme="minorHAnsi"/>
          <w:sz w:val="22"/>
          <w:szCs w:val="22"/>
        </w:rPr>
      </w:pPr>
      <w:r w:rsidRPr="001E15D6">
        <w:rPr>
          <w:rFonts w:asciiTheme="minorHAnsi" w:hAnsiTheme="minorHAnsi" w:cstheme="minorHAnsi"/>
          <w:sz w:val="22"/>
          <w:szCs w:val="22"/>
        </w:rPr>
        <w:t xml:space="preserve">Les propositions des consultants intéressés par la présente </w:t>
      </w:r>
      <w:r>
        <w:rPr>
          <w:rFonts w:asciiTheme="minorHAnsi" w:hAnsiTheme="minorHAnsi" w:cstheme="minorHAnsi"/>
          <w:sz w:val="22"/>
          <w:szCs w:val="22"/>
        </w:rPr>
        <w:t>consultation</w:t>
      </w:r>
      <w:r w:rsidRPr="001E15D6">
        <w:rPr>
          <w:rFonts w:asciiTheme="minorHAnsi" w:hAnsiTheme="minorHAnsi" w:cstheme="minorHAnsi"/>
          <w:sz w:val="22"/>
          <w:szCs w:val="22"/>
        </w:rPr>
        <w:t xml:space="preserve"> devront inclure : </w:t>
      </w:r>
    </w:p>
    <w:p w:rsidR="00BB0B93" w:rsidRPr="001E15D6" w:rsidRDefault="00BB0B93" w:rsidP="001B2009">
      <w:pPr>
        <w:pStyle w:val="Default"/>
        <w:numPr>
          <w:ilvl w:val="0"/>
          <w:numId w:val="5"/>
        </w:numPr>
        <w:spacing w:after="35"/>
        <w:rPr>
          <w:rFonts w:asciiTheme="minorHAnsi" w:hAnsiTheme="minorHAnsi" w:cstheme="minorHAnsi"/>
          <w:sz w:val="22"/>
          <w:szCs w:val="22"/>
        </w:rPr>
      </w:pPr>
      <w:r w:rsidRPr="001E15D6">
        <w:rPr>
          <w:rFonts w:asciiTheme="minorHAnsi" w:hAnsiTheme="minorHAnsi" w:cstheme="minorHAnsi"/>
          <w:sz w:val="22"/>
          <w:szCs w:val="22"/>
        </w:rPr>
        <w:t xml:space="preserve">Une proposition présentant la compréhension des termes de références, des enjeux du processus dans sa globalité et de chacune des phases ainsi que la méthode de capitalisation proposée ; </w:t>
      </w:r>
    </w:p>
    <w:p w:rsidR="00BB0B93" w:rsidRPr="001E15D6" w:rsidRDefault="00BB0B93" w:rsidP="001B2009">
      <w:pPr>
        <w:pStyle w:val="Default"/>
        <w:numPr>
          <w:ilvl w:val="0"/>
          <w:numId w:val="5"/>
        </w:numPr>
        <w:spacing w:after="35"/>
        <w:rPr>
          <w:rFonts w:asciiTheme="minorHAnsi" w:hAnsiTheme="minorHAnsi" w:cstheme="minorHAnsi"/>
          <w:sz w:val="22"/>
          <w:szCs w:val="22"/>
        </w:rPr>
      </w:pPr>
      <w:r w:rsidRPr="001E15D6">
        <w:rPr>
          <w:rFonts w:asciiTheme="minorHAnsi" w:hAnsiTheme="minorHAnsi" w:cstheme="minorHAnsi"/>
          <w:sz w:val="22"/>
          <w:szCs w:val="22"/>
        </w:rPr>
        <w:t>Une proposi</w:t>
      </w:r>
      <w:r>
        <w:rPr>
          <w:rFonts w:asciiTheme="minorHAnsi" w:hAnsiTheme="minorHAnsi" w:cstheme="minorHAnsi"/>
          <w:sz w:val="22"/>
          <w:szCs w:val="22"/>
        </w:rPr>
        <w:t xml:space="preserve">tion financière pour chacune 3 </w:t>
      </w:r>
      <w:r w:rsidR="00C40FE6">
        <w:rPr>
          <w:rFonts w:asciiTheme="minorHAnsi" w:hAnsiTheme="minorHAnsi" w:cstheme="minorHAnsi"/>
          <w:sz w:val="22"/>
          <w:szCs w:val="22"/>
        </w:rPr>
        <w:t>capitalisations</w:t>
      </w:r>
      <w:r w:rsidRPr="001E15D6">
        <w:rPr>
          <w:rFonts w:asciiTheme="minorHAnsi" w:hAnsiTheme="minorHAnsi" w:cstheme="minorHAnsi"/>
          <w:sz w:val="22"/>
          <w:szCs w:val="22"/>
        </w:rPr>
        <w:t xml:space="preserve"> détaillant également le nombre homme/jour de travail envisagé ; </w:t>
      </w:r>
    </w:p>
    <w:p w:rsidR="00BB0B93" w:rsidRPr="001E15D6" w:rsidRDefault="00BB0B93" w:rsidP="001B2009">
      <w:pPr>
        <w:pStyle w:val="Default"/>
        <w:numPr>
          <w:ilvl w:val="0"/>
          <w:numId w:val="5"/>
        </w:numPr>
        <w:spacing w:after="35"/>
        <w:rPr>
          <w:rFonts w:asciiTheme="minorHAnsi" w:hAnsiTheme="minorHAnsi" w:cstheme="minorHAnsi"/>
          <w:sz w:val="22"/>
          <w:szCs w:val="22"/>
        </w:rPr>
      </w:pPr>
      <w:r w:rsidRPr="001E15D6">
        <w:rPr>
          <w:rFonts w:asciiTheme="minorHAnsi" w:hAnsiTheme="minorHAnsi" w:cstheme="minorHAnsi"/>
          <w:sz w:val="22"/>
          <w:szCs w:val="22"/>
        </w:rPr>
        <w:t xml:space="preserve">Le CV de/des évaluateur(s) (formation, expertises et expériences dans les champs couverts par le projet ou dans ce type d’action), attestant de l’expérience et de l’expertise sur les points requis pour la prestation; </w:t>
      </w:r>
    </w:p>
    <w:p w:rsidR="00BB0B93" w:rsidRDefault="00BB0B93" w:rsidP="00BB0B93">
      <w:pPr>
        <w:pStyle w:val="Default"/>
        <w:rPr>
          <w:rFonts w:asciiTheme="minorHAnsi" w:hAnsiTheme="minorHAnsi" w:cstheme="minorHAnsi"/>
          <w:sz w:val="22"/>
          <w:szCs w:val="22"/>
        </w:rPr>
      </w:pPr>
    </w:p>
    <w:p w:rsidR="00BB0B93" w:rsidRDefault="00BB0B93" w:rsidP="00BB0B93">
      <w:r w:rsidRPr="00505681">
        <w:t>Les propositions techniques et financières seront évaluées selon les critères précisés ci-après.</w:t>
      </w:r>
    </w:p>
    <w:p w:rsidR="00BB0B93" w:rsidRPr="007E4B3F" w:rsidRDefault="00BB0B93" w:rsidP="00BB0B93">
      <w:pPr>
        <w:rPr>
          <w:sz w:val="8"/>
          <w:szCs w:val="8"/>
        </w:rPr>
      </w:pPr>
    </w:p>
    <w:p w:rsidR="00BB0B93" w:rsidRPr="001E15D6" w:rsidRDefault="00BB0B93" w:rsidP="001B2009">
      <w:pPr>
        <w:pStyle w:val="Default"/>
        <w:numPr>
          <w:ilvl w:val="0"/>
          <w:numId w:val="5"/>
        </w:numPr>
        <w:spacing w:after="35"/>
        <w:rPr>
          <w:rFonts w:asciiTheme="minorHAnsi" w:hAnsiTheme="minorHAnsi" w:cstheme="minorHAnsi"/>
          <w:sz w:val="22"/>
          <w:szCs w:val="22"/>
        </w:rPr>
      </w:pPr>
      <w:r w:rsidRPr="001E15D6">
        <w:rPr>
          <w:rFonts w:asciiTheme="minorHAnsi" w:hAnsiTheme="minorHAnsi" w:cstheme="minorHAnsi"/>
          <w:sz w:val="22"/>
          <w:szCs w:val="22"/>
        </w:rPr>
        <w:t xml:space="preserve">Expérience des consultants, connaissance des contextes, et expertise sectorielle dans les thématiques requises (35%), </w:t>
      </w:r>
    </w:p>
    <w:p w:rsidR="00BB0B93" w:rsidRDefault="00BB0B93" w:rsidP="001B2009">
      <w:pPr>
        <w:pStyle w:val="Default"/>
        <w:numPr>
          <w:ilvl w:val="0"/>
          <w:numId w:val="5"/>
        </w:numPr>
        <w:spacing w:after="35"/>
        <w:rPr>
          <w:rFonts w:asciiTheme="minorHAnsi" w:hAnsiTheme="minorHAnsi" w:cstheme="minorHAnsi"/>
          <w:sz w:val="22"/>
          <w:szCs w:val="22"/>
        </w:rPr>
      </w:pPr>
      <w:r w:rsidRPr="00D34168">
        <w:rPr>
          <w:rFonts w:asciiTheme="minorHAnsi" w:hAnsiTheme="minorHAnsi" w:cstheme="minorHAnsi"/>
          <w:sz w:val="22"/>
          <w:szCs w:val="22"/>
        </w:rPr>
        <w:t xml:space="preserve">Compréhension des termes de référence et des enjeux de la commande (45%) : </w:t>
      </w:r>
    </w:p>
    <w:p w:rsidR="00BB0B93" w:rsidRPr="00D34168" w:rsidRDefault="00BB0B93" w:rsidP="001B2009">
      <w:pPr>
        <w:pStyle w:val="Default"/>
        <w:numPr>
          <w:ilvl w:val="0"/>
          <w:numId w:val="6"/>
        </w:numPr>
        <w:spacing w:after="35"/>
        <w:rPr>
          <w:rFonts w:asciiTheme="minorHAnsi" w:hAnsiTheme="minorHAnsi" w:cstheme="minorHAnsi"/>
          <w:sz w:val="22"/>
          <w:szCs w:val="22"/>
        </w:rPr>
      </w:pPr>
      <w:r w:rsidRPr="00D34168">
        <w:rPr>
          <w:rFonts w:asciiTheme="minorHAnsi" w:hAnsiTheme="minorHAnsi" w:cstheme="minorHAnsi"/>
          <w:sz w:val="22"/>
          <w:szCs w:val="22"/>
        </w:rPr>
        <w:t xml:space="preserve">Compréhension globale des TDR et des enjeux de chacune des capitalisations (15%) </w:t>
      </w:r>
    </w:p>
    <w:p w:rsidR="00BB0B93" w:rsidRPr="001E15D6" w:rsidRDefault="00BB0B93" w:rsidP="001B2009">
      <w:pPr>
        <w:pStyle w:val="Default"/>
        <w:numPr>
          <w:ilvl w:val="0"/>
          <w:numId w:val="6"/>
        </w:numPr>
        <w:spacing w:after="35"/>
        <w:rPr>
          <w:rFonts w:asciiTheme="minorHAnsi" w:hAnsiTheme="minorHAnsi" w:cstheme="minorHAnsi"/>
          <w:sz w:val="22"/>
          <w:szCs w:val="22"/>
        </w:rPr>
      </w:pPr>
      <w:r w:rsidRPr="001E15D6">
        <w:rPr>
          <w:rFonts w:asciiTheme="minorHAnsi" w:hAnsiTheme="minorHAnsi" w:cstheme="minorHAnsi"/>
          <w:sz w:val="22"/>
          <w:szCs w:val="22"/>
        </w:rPr>
        <w:t xml:space="preserve">Qualité et pertinence de la méthode de capitalisation proposée dans son ensemble (15%) </w:t>
      </w:r>
    </w:p>
    <w:p w:rsidR="00BB0B93" w:rsidRPr="001E15D6" w:rsidRDefault="00BB0B93" w:rsidP="001B2009">
      <w:pPr>
        <w:pStyle w:val="Default"/>
        <w:numPr>
          <w:ilvl w:val="0"/>
          <w:numId w:val="6"/>
        </w:numPr>
        <w:spacing w:after="35"/>
        <w:rPr>
          <w:rFonts w:asciiTheme="minorHAnsi" w:hAnsiTheme="minorHAnsi" w:cstheme="minorHAnsi"/>
          <w:sz w:val="22"/>
          <w:szCs w:val="22"/>
        </w:rPr>
      </w:pPr>
      <w:r w:rsidRPr="001E15D6">
        <w:rPr>
          <w:rFonts w:asciiTheme="minorHAnsi" w:hAnsiTheme="minorHAnsi" w:cstheme="minorHAnsi"/>
          <w:sz w:val="22"/>
          <w:szCs w:val="22"/>
        </w:rPr>
        <w:t xml:space="preserve">Modalités de restitution des capitalisations (livrables)  (15%) </w:t>
      </w:r>
    </w:p>
    <w:p w:rsidR="00BB0B93" w:rsidRDefault="00BB0B93" w:rsidP="001B2009">
      <w:pPr>
        <w:pStyle w:val="Default"/>
        <w:numPr>
          <w:ilvl w:val="0"/>
          <w:numId w:val="5"/>
        </w:numPr>
        <w:rPr>
          <w:rFonts w:asciiTheme="minorHAnsi" w:hAnsiTheme="minorHAnsi" w:cstheme="minorHAnsi"/>
          <w:sz w:val="22"/>
          <w:szCs w:val="22"/>
        </w:rPr>
      </w:pPr>
      <w:r w:rsidRPr="001E15D6">
        <w:rPr>
          <w:rFonts w:asciiTheme="minorHAnsi" w:hAnsiTheme="minorHAnsi" w:cstheme="minorHAnsi"/>
          <w:sz w:val="22"/>
          <w:szCs w:val="22"/>
        </w:rPr>
        <w:t xml:space="preserve">Temps (HJ) proposés au regard du budget (20%). </w:t>
      </w:r>
    </w:p>
    <w:p w:rsidR="00BB0B93" w:rsidRPr="001E15D6" w:rsidRDefault="00BB0B93" w:rsidP="00BB0B93">
      <w:pPr>
        <w:pStyle w:val="Default"/>
        <w:rPr>
          <w:rFonts w:asciiTheme="minorHAnsi" w:hAnsiTheme="minorHAnsi" w:cstheme="minorHAnsi"/>
          <w:sz w:val="22"/>
          <w:szCs w:val="22"/>
        </w:rPr>
      </w:pPr>
    </w:p>
    <w:p w:rsidR="00C142C9" w:rsidRPr="00CF25C5" w:rsidRDefault="00C142C9" w:rsidP="00A94D1F">
      <w:pPr>
        <w:pStyle w:val="Titre2"/>
      </w:pPr>
      <w:bookmarkStart w:id="40" w:name="_Toc93658853"/>
      <w:r w:rsidRPr="00CF25C5">
        <w:t>Contractualisation</w:t>
      </w:r>
      <w:bookmarkEnd w:id="37"/>
      <w:bookmarkEnd w:id="38"/>
      <w:bookmarkEnd w:id="39"/>
      <w:bookmarkEnd w:id="40"/>
    </w:p>
    <w:p w:rsidR="00C142C9" w:rsidRPr="00505681" w:rsidRDefault="00C142C9" w:rsidP="00C142C9">
      <w:r w:rsidRPr="00505681">
        <w:t>Suite à la sélection des propositions et à la négociation avec le consultant retenu, le contrat sera signé entre l’organisme et le programme Solidarité-Eau. Il est attendu que l’organisme débute la prestation à la date prévue dans les termes de référence.</w:t>
      </w:r>
    </w:p>
    <w:p w:rsidR="00C142C9" w:rsidRPr="00505681" w:rsidRDefault="00C142C9" w:rsidP="00C142C9">
      <w:r w:rsidRPr="00505681">
        <w:t>En cas de défaillance de l’expert principal de l’équipe retenu, le pS-Eau se réserve le droit de retenir le consultant ou bureau d’études classé second.</w:t>
      </w:r>
    </w:p>
    <w:p w:rsidR="00C142C9" w:rsidRPr="00CF25C5" w:rsidRDefault="00C142C9" w:rsidP="00A94D1F">
      <w:pPr>
        <w:pStyle w:val="Titre2"/>
      </w:pPr>
      <w:bookmarkStart w:id="41" w:name="_Toc189534938"/>
      <w:bookmarkStart w:id="42" w:name="_Toc191836245"/>
      <w:bookmarkStart w:id="43" w:name="_Toc245180318"/>
      <w:bookmarkStart w:id="44" w:name="_Toc273352040"/>
      <w:bookmarkStart w:id="45" w:name="_Toc501097823"/>
      <w:bookmarkStart w:id="46" w:name="_Toc501379899"/>
      <w:bookmarkStart w:id="47" w:name="_Toc93658854"/>
      <w:r w:rsidRPr="00CF25C5">
        <w:t xml:space="preserve">Références </w:t>
      </w:r>
      <w:bookmarkEnd w:id="41"/>
      <w:bookmarkEnd w:id="42"/>
      <w:bookmarkEnd w:id="43"/>
      <w:bookmarkEnd w:id="44"/>
      <w:bookmarkEnd w:id="45"/>
      <w:r>
        <w:t>des</w:t>
      </w:r>
      <w:r w:rsidRPr="00CF25C5">
        <w:t xml:space="preserve"> consultant</w:t>
      </w:r>
      <w:bookmarkEnd w:id="46"/>
      <w:r>
        <w:t>s</w:t>
      </w:r>
      <w:bookmarkEnd w:id="47"/>
    </w:p>
    <w:p w:rsidR="00D1471F" w:rsidRPr="001E15D6" w:rsidRDefault="00D1471F" w:rsidP="00D1471F">
      <w:pPr>
        <w:autoSpaceDE w:val="0"/>
        <w:autoSpaceDN w:val="0"/>
        <w:adjustRightInd w:val="0"/>
        <w:spacing w:line="240" w:lineRule="auto"/>
        <w:rPr>
          <w:rFonts w:cstheme="minorHAnsi"/>
        </w:rPr>
      </w:pPr>
      <w:bookmarkStart w:id="48" w:name="_Toc501379900"/>
      <w:bookmarkStart w:id="49" w:name="_Toc516002267"/>
      <w:r w:rsidRPr="001E15D6">
        <w:rPr>
          <w:rFonts w:cstheme="minorHAnsi"/>
        </w:rPr>
        <w:t>L’appui sera réalisé par un ou une consultant-e ou un binôme de consultant-e-s. Dans ce cas, une attention particulière sera portée à la cohérence / complémentarité / articulation de l’équipe dans la durée de la consultance. Dans le cas d’une équipe de consultant-e-s, l’un-e d’eux sera chef-fe de mission et les offres préciseront lequel.</w:t>
      </w:r>
    </w:p>
    <w:p w:rsidR="00D1471F" w:rsidRPr="001E15D6" w:rsidRDefault="00D1471F" w:rsidP="00D1471F">
      <w:pPr>
        <w:autoSpaceDE w:val="0"/>
        <w:autoSpaceDN w:val="0"/>
        <w:adjustRightInd w:val="0"/>
        <w:spacing w:line="240" w:lineRule="auto"/>
        <w:rPr>
          <w:rFonts w:cstheme="minorHAnsi"/>
        </w:rPr>
      </w:pPr>
      <w:r w:rsidRPr="001E15D6">
        <w:rPr>
          <w:rFonts w:cstheme="minorHAnsi"/>
        </w:rPr>
        <w:t>Principales compétences recherchées pour les consultant·e·s :</w:t>
      </w:r>
    </w:p>
    <w:p w:rsidR="00D1471F" w:rsidRDefault="00D1471F" w:rsidP="001B2009">
      <w:pPr>
        <w:numPr>
          <w:ilvl w:val="0"/>
          <w:numId w:val="4"/>
        </w:numPr>
        <w:spacing w:before="60" w:after="0" w:line="260" w:lineRule="atLeast"/>
        <w:jc w:val="both"/>
        <w:rPr>
          <w:rFonts w:cstheme="minorHAnsi"/>
        </w:rPr>
      </w:pPr>
      <w:r w:rsidRPr="001E15D6">
        <w:rPr>
          <w:rFonts w:cstheme="minorHAnsi"/>
        </w:rPr>
        <w:t>Expériences avérée</w:t>
      </w:r>
      <w:r>
        <w:rPr>
          <w:rFonts w:cstheme="minorHAnsi"/>
        </w:rPr>
        <w:t xml:space="preserve">s </w:t>
      </w:r>
      <w:r w:rsidRPr="001E15D6">
        <w:rPr>
          <w:rFonts w:cstheme="minorHAnsi"/>
        </w:rPr>
        <w:t xml:space="preserve"> en matière de conduite de capitalisation et de rédaction </w:t>
      </w:r>
      <w:r>
        <w:rPr>
          <w:rFonts w:cstheme="minorHAnsi"/>
        </w:rPr>
        <w:t xml:space="preserve"> </w:t>
      </w:r>
    </w:p>
    <w:p w:rsidR="00D1471F" w:rsidRPr="001E15D6" w:rsidRDefault="00D1471F" w:rsidP="001B2009">
      <w:pPr>
        <w:numPr>
          <w:ilvl w:val="0"/>
          <w:numId w:val="4"/>
        </w:numPr>
        <w:spacing w:before="60" w:after="0" w:line="260" w:lineRule="atLeast"/>
        <w:jc w:val="both"/>
        <w:rPr>
          <w:rFonts w:cstheme="minorHAnsi"/>
        </w:rPr>
      </w:pPr>
      <w:r w:rsidRPr="001E15D6">
        <w:rPr>
          <w:rFonts w:cstheme="minorHAnsi"/>
        </w:rPr>
        <w:t>Compétence méthodologique avérée et maîtrise des outils et techniques d’enquêtes et entretien ;</w:t>
      </w:r>
    </w:p>
    <w:p w:rsidR="00D1471F" w:rsidRPr="001E15D6" w:rsidRDefault="00D1471F" w:rsidP="001B2009">
      <w:pPr>
        <w:numPr>
          <w:ilvl w:val="0"/>
          <w:numId w:val="4"/>
        </w:numPr>
        <w:spacing w:before="60" w:after="0" w:line="260" w:lineRule="atLeast"/>
        <w:jc w:val="both"/>
        <w:rPr>
          <w:rFonts w:cstheme="minorHAnsi"/>
        </w:rPr>
      </w:pPr>
      <w:r w:rsidRPr="001E15D6">
        <w:rPr>
          <w:rFonts w:cstheme="minorHAnsi"/>
        </w:rPr>
        <w:lastRenderedPageBreak/>
        <w:t>Maitrise des dimensions institutionnelles liées à l’intervention extérieure des collectivités territoriales :</w:t>
      </w:r>
    </w:p>
    <w:p w:rsidR="00D1471F" w:rsidRPr="001E15D6" w:rsidRDefault="00D1471F" w:rsidP="001B2009">
      <w:pPr>
        <w:numPr>
          <w:ilvl w:val="0"/>
          <w:numId w:val="4"/>
        </w:numPr>
        <w:spacing w:before="60" w:after="0" w:line="260" w:lineRule="atLeast"/>
        <w:jc w:val="both"/>
        <w:rPr>
          <w:rFonts w:cstheme="minorHAnsi"/>
        </w:rPr>
      </w:pPr>
      <w:r>
        <w:rPr>
          <w:rFonts w:cstheme="minorHAnsi"/>
        </w:rPr>
        <w:t>Expertise en matière de montage de projets de solidarité internationale</w:t>
      </w:r>
    </w:p>
    <w:p w:rsidR="00D1471F" w:rsidRPr="001E15D6" w:rsidRDefault="00D1471F" w:rsidP="001B2009">
      <w:pPr>
        <w:numPr>
          <w:ilvl w:val="0"/>
          <w:numId w:val="4"/>
        </w:numPr>
        <w:spacing w:before="60" w:after="0" w:line="260" w:lineRule="atLeast"/>
        <w:jc w:val="both"/>
        <w:rPr>
          <w:rFonts w:cstheme="minorHAnsi"/>
        </w:rPr>
      </w:pPr>
      <w:r w:rsidRPr="001E15D6">
        <w:rPr>
          <w:rFonts w:cstheme="minorHAnsi"/>
        </w:rPr>
        <w:t>Capacités d’analyse selon une approche genre.</w:t>
      </w:r>
    </w:p>
    <w:p w:rsidR="00D1471F" w:rsidRPr="001E15D6" w:rsidRDefault="00D1471F" w:rsidP="001B2009">
      <w:pPr>
        <w:numPr>
          <w:ilvl w:val="0"/>
          <w:numId w:val="4"/>
        </w:numPr>
        <w:spacing w:before="120" w:line="240" w:lineRule="auto"/>
        <w:contextualSpacing/>
        <w:jc w:val="both"/>
        <w:rPr>
          <w:rFonts w:eastAsia="Calibri" w:cstheme="minorHAnsi"/>
        </w:rPr>
      </w:pPr>
      <w:r>
        <w:rPr>
          <w:rFonts w:eastAsia="Calibri" w:cstheme="minorHAnsi"/>
        </w:rPr>
        <w:t>Intérêt sur</w:t>
      </w:r>
      <w:r w:rsidRPr="001E15D6">
        <w:rPr>
          <w:rFonts w:eastAsia="Calibri" w:cstheme="minorHAnsi"/>
        </w:rPr>
        <w:t xml:space="preserve"> les aspects techniques, économiques, sociaux, environnementaux et de gestion en matière d’accès à l’eau, à l’assainissement, au traitement des déchets et à l’électricité, dans un contexte de solidarité internationale.</w:t>
      </w:r>
    </w:p>
    <w:p w:rsidR="00D1471F" w:rsidRDefault="00D1471F" w:rsidP="00C142C9">
      <w:pPr>
        <w:rPr>
          <w:u w:val="single"/>
        </w:rPr>
      </w:pPr>
    </w:p>
    <w:p w:rsidR="00C142C9" w:rsidRPr="00B914A7" w:rsidRDefault="00C142C9" w:rsidP="00C142C9">
      <w:pPr>
        <w:rPr>
          <w:u w:val="single"/>
        </w:rPr>
      </w:pPr>
      <w:r w:rsidRPr="00B914A7">
        <w:rPr>
          <w:u w:val="single"/>
        </w:rPr>
        <w:t>CV du (ou des) consultant(e.s)</w:t>
      </w:r>
      <w:bookmarkEnd w:id="48"/>
      <w:bookmarkEnd w:id="49"/>
    </w:p>
    <w:p w:rsidR="00C142C9" w:rsidRPr="00505681" w:rsidRDefault="00C142C9" w:rsidP="00C142C9">
      <w:r w:rsidRPr="00505681">
        <w:t>Le format du CV est libre, mais il est demandé d’y surligner activités conduites les 5 dernières années qui illustrent la qualification pour conduire les activités proposées dans le cadre du présent appel d’offres.</w:t>
      </w:r>
    </w:p>
    <w:p w:rsidR="00C142C9" w:rsidRPr="00B914A7" w:rsidRDefault="00C142C9" w:rsidP="00C142C9">
      <w:pPr>
        <w:rPr>
          <w:u w:val="single"/>
        </w:rPr>
      </w:pPr>
      <w:bookmarkStart w:id="50" w:name="_Toc501379901"/>
      <w:bookmarkStart w:id="51" w:name="_Toc516002268"/>
      <w:r w:rsidRPr="00B914A7">
        <w:rPr>
          <w:u w:val="single"/>
        </w:rPr>
        <w:t xml:space="preserve">Biographie du (ou des) consultant(e.s) </w:t>
      </w:r>
      <w:bookmarkEnd w:id="50"/>
      <w:bookmarkEnd w:id="51"/>
    </w:p>
    <w:p w:rsidR="00C142C9" w:rsidRPr="008A6302" w:rsidRDefault="00C142C9" w:rsidP="00C142C9">
      <w:r w:rsidRPr="00505681">
        <w:t>Cette biographie doit être orientée spécifiquement sur le thème de l’étude</w:t>
      </w:r>
      <w:r>
        <w:t xml:space="preserve"> </w:t>
      </w:r>
      <w:r w:rsidRPr="00505681">
        <w:rPr>
          <w:rFonts w:cstheme="minorHAnsi"/>
        </w:rPr>
        <w:t>(1 page maximum)</w:t>
      </w:r>
    </w:p>
    <w:p w:rsidR="00C142C9" w:rsidRDefault="00C142C9" w:rsidP="00960CBD">
      <w:pPr>
        <w:rPr>
          <w:rFonts w:cstheme="minorHAnsi"/>
          <w:sz w:val="24"/>
          <w:szCs w:val="24"/>
        </w:rPr>
      </w:pPr>
    </w:p>
    <w:p w:rsidR="00D1471F" w:rsidRPr="00D1471F" w:rsidRDefault="00D1471F" w:rsidP="001B2009">
      <w:pPr>
        <w:pStyle w:val="Titre1"/>
        <w:keepNext w:val="0"/>
        <w:keepLines w:val="0"/>
        <w:numPr>
          <w:ilvl w:val="0"/>
          <w:numId w:val="8"/>
        </w:numPr>
        <w:shd w:val="clear" w:color="auto" w:fill="004990"/>
        <w:spacing w:before="120" w:line="240" w:lineRule="auto"/>
        <w:contextualSpacing/>
        <w:rPr>
          <w:color w:val="auto"/>
        </w:rPr>
      </w:pPr>
      <w:bookmarkStart w:id="52" w:name="_Toc93658855"/>
      <w:r w:rsidRPr="00D1471F">
        <w:rPr>
          <w:color w:val="auto"/>
        </w:rPr>
        <w:t>Termes de référence</w:t>
      </w:r>
      <w:bookmarkEnd w:id="52"/>
    </w:p>
    <w:p w:rsidR="00960CBD" w:rsidRPr="00A94D1F" w:rsidRDefault="00F55B7A" w:rsidP="001B2009">
      <w:pPr>
        <w:pStyle w:val="Titre2"/>
        <w:numPr>
          <w:ilvl w:val="1"/>
          <w:numId w:val="11"/>
        </w:numPr>
      </w:pPr>
      <w:r w:rsidRPr="00A94D1F">
        <w:t xml:space="preserve"> </w:t>
      </w:r>
      <w:bookmarkStart w:id="53" w:name="_Toc93658856"/>
      <w:r w:rsidRPr="00A94D1F">
        <w:t xml:space="preserve">Contexte </w:t>
      </w:r>
      <w:r w:rsidR="00960CBD" w:rsidRPr="00A94D1F">
        <w:t>:</w:t>
      </w:r>
      <w:bookmarkEnd w:id="53"/>
      <w:r w:rsidR="00960CBD" w:rsidRPr="00A94D1F">
        <w:t xml:space="preserve"> </w:t>
      </w:r>
    </w:p>
    <w:p w:rsidR="00121572" w:rsidRPr="00121572" w:rsidRDefault="00121572" w:rsidP="00F55B7A">
      <w:pPr>
        <w:tabs>
          <w:tab w:val="left" w:pos="851"/>
        </w:tabs>
        <w:rPr>
          <w:rFonts w:cstheme="minorHAnsi"/>
          <w:b/>
        </w:rPr>
      </w:pPr>
      <w:r w:rsidRPr="00121572">
        <w:rPr>
          <w:rFonts w:cstheme="minorHAnsi"/>
          <w:b/>
        </w:rPr>
        <w:t xml:space="preserve">Contexte général </w:t>
      </w:r>
    </w:p>
    <w:p w:rsidR="00F55B7A" w:rsidRPr="001E15D6" w:rsidRDefault="00A91C57" w:rsidP="00F55B7A">
      <w:pPr>
        <w:tabs>
          <w:tab w:val="left" w:pos="851"/>
        </w:tabs>
        <w:rPr>
          <w:rFonts w:cstheme="minorHAnsi"/>
        </w:rPr>
      </w:pPr>
      <w:r>
        <w:rPr>
          <w:rFonts w:cstheme="minorHAnsi"/>
        </w:rPr>
        <w:t xml:space="preserve">Si la </w:t>
      </w:r>
      <w:r w:rsidR="00F55B7A" w:rsidRPr="001E15D6">
        <w:rPr>
          <w:rFonts w:cstheme="minorHAnsi"/>
        </w:rPr>
        <w:t>mise en œuvre des OMD, et depuis fin 2015 des ODD, a permis des progrès substantiels dans l’accès aux services essentiels, le chemin à parcourir reste important, notamment dans les pays à faibles revenus :</w:t>
      </w:r>
    </w:p>
    <w:p w:rsidR="00F55B7A" w:rsidRPr="001E15D6" w:rsidRDefault="00F55B7A" w:rsidP="001B2009">
      <w:pPr>
        <w:pStyle w:val="Paragraphedeliste"/>
        <w:numPr>
          <w:ilvl w:val="0"/>
          <w:numId w:val="1"/>
        </w:numPr>
        <w:tabs>
          <w:tab w:val="left" w:pos="851"/>
        </w:tabs>
        <w:spacing w:after="0" w:line="240" w:lineRule="auto"/>
        <w:jc w:val="both"/>
        <w:rPr>
          <w:rFonts w:cstheme="minorHAnsi"/>
        </w:rPr>
      </w:pPr>
      <w:r w:rsidRPr="001E15D6">
        <w:rPr>
          <w:rFonts w:cstheme="minorHAnsi"/>
          <w:b/>
          <w:bCs/>
        </w:rPr>
        <w:t>1 personne sur 3 n’a pas accès à une eau salubre</w:t>
      </w:r>
      <w:r w:rsidRPr="001E15D6">
        <w:rPr>
          <w:rFonts w:cstheme="minorHAnsi"/>
        </w:rPr>
        <w:t xml:space="preserve"> et 1 personne sur 2 à un système d’assainissement sûr selon l’OMS et l’UNICEF (2017)</w:t>
      </w:r>
      <w:r w:rsidRPr="001E15D6">
        <w:rPr>
          <w:rStyle w:val="Appelnotedebasdep"/>
          <w:rFonts w:cstheme="minorHAnsi"/>
        </w:rPr>
        <w:footnoteReference w:id="1"/>
      </w:r>
      <w:r w:rsidRPr="001E15D6">
        <w:rPr>
          <w:rFonts w:cstheme="minorHAnsi"/>
        </w:rPr>
        <w:t xml:space="preserve">. La moitié de ces personnes se situent en Afrique subsaharienne. </w:t>
      </w:r>
    </w:p>
    <w:p w:rsidR="00F55B7A" w:rsidRPr="001E15D6" w:rsidRDefault="00F55B7A" w:rsidP="001B2009">
      <w:pPr>
        <w:pStyle w:val="Paragraphedeliste"/>
        <w:numPr>
          <w:ilvl w:val="0"/>
          <w:numId w:val="1"/>
        </w:numPr>
        <w:tabs>
          <w:tab w:val="left" w:pos="851"/>
        </w:tabs>
        <w:spacing w:after="0" w:line="240" w:lineRule="auto"/>
        <w:jc w:val="both"/>
        <w:rPr>
          <w:rFonts w:cstheme="minorHAnsi"/>
        </w:rPr>
      </w:pPr>
      <w:r w:rsidRPr="001E15D6">
        <w:rPr>
          <w:rFonts w:cstheme="minorHAnsi"/>
          <w:b/>
          <w:bCs/>
        </w:rPr>
        <w:t>1 personne sur 10 n’a pas accès à l’électricité</w:t>
      </w:r>
      <w:r w:rsidRPr="001E15D6">
        <w:rPr>
          <w:rFonts w:cstheme="minorHAnsi"/>
        </w:rPr>
        <w:t xml:space="preserve"> selon la Banque Mondiale (2018)</w:t>
      </w:r>
      <w:r w:rsidRPr="001E15D6">
        <w:rPr>
          <w:rStyle w:val="Appelnotedebasdep"/>
          <w:rFonts w:cstheme="minorHAnsi"/>
        </w:rPr>
        <w:footnoteReference w:id="2"/>
      </w:r>
      <w:r w:rsidRPr="001E15D6">
        <w:rPr>
          <w:rFonts w:cstheme="minorHAnsi"/>
        </w:rPr>
        <w:t xml:space="preserve">, essentiellement en Afrique subsaharienne. </w:t>
      </w:r>
    </w:p>
    <w:p w:rsidR="00F55B7A" w:rsidRPr="001E15D6" w:rsidRDefault="00F55B7A" w:rsidP="001B2009">
      <w:pPr>
        <w:pStyle w:val="Paragraphedeliste"/>
        <w:numPr>
          <w:ilvl w:val="0"/>
          <w:numId w:val="1"/>
        </w:numPr>
        <w:tabs>
          <w:tab w:val="left" w:pos="851"/>
        </w:tabs>
        <w:spacing w:after="0" w:line="240" w:lineRule="auto"/>
        <w:jc w:val="both"/>
        <w:rPr>
          <w:rFonts w:cstheme="minorHAnsi"/>
        </w:rPr>
      </w:pPr>
      <w:r w:rsidRPr="001E15D6">
        <w:rPr>
          <w:rFonts w:cstheme="minorHAnsi"/>
          <w:b/>
          <w:bCs/>
        </w:rPr>
        <w:t>1 personne sur 2 n’a pas accès à des installations contrôlées d’élimination des déchets</w:t>
      </w:r>
      <w:r w:rsidRPr="001E15D6">
        <w:rPr>
          <w:rFonts w:cstheme="minorHAnsi"/>
        </w:rPr>
        <w:t xml:space="preserve"> selon le Programme des Nations unies pour l’environnement - UNEP (2020).</w:t>
      </w:r>
    </w:p>
    <w:p w:rsidR="00F55B7A" w:rsidRPr="001E15D6" w:rsidRDefault="00F55B7A" w:rsidP="00F55B7A">
      <w:pPr>
        <w:tabs>
          <w:tab w:val="left" w:pos="851"/>
        </w:tabs>
        <w:spacing w:after="120"/>
        <w:rPr>
          <w:rFonts w:cstheme="minorHAnsi"/>
        </w:rPr>
      </w:pPr>
      <w:r w:rsidRPr="001E15D6">
        <w:rPr>
          <w:rFonts w:cstheme="minorHAnsi"/>
        </w:rPr>
        <w:t xml:space="preserve">Dans les pays à faibles revenus, notamment en Afrique Subsaharienne, les habitant-e-s des zones rurales, de petites villes ou des périphéries urbaines sont particulièrement concernés par le manque d’accès aux services essentiels, et encore plus lorsqu’ils appartiennent à des groupes marginalisés. Or, garantir des conditions de vie et de santé dignes conditionne tout processus de développement souhaitant apporter un changement positif pour les populations locales. </w:t>
      </w:r>
    </w:p>
    <w:p w:rsidR="00F55B7A" w:rsidRPr="001E15D6" w:rsidRDefault="00F55B7A" w:rsidP="00F55B7A">
      <w:pPr>
        <w:tabs>
          <w:tab w:val="left" w:pos="851"/>
        </w:tabs>
        <w:rPr>
          <w:rFonts w:cstheme="minorHAnsi"/>
        </w:rPr>
      </w:pPr>
      <w:r w:rsidRPr="001E15D6">
        <w:rPr>
          <w:rFonts w:cstheme="minorHAnsi"/>
          <w:b/>
          <w:bCs/>
        </w:rPr>
        <w:t>Pour répondre à ces besoins, il est essentiel d’avoir une approche intégrée des services essentiels</w:t>
      </w:r>
      <w:r w:rsidRPr="001E15D6">
        <w:rPr>
          <w:rFonts w:cstheme="minorHAnsi"/>
        </w:rPr>
        <w:t xml:space="preserve">. Les besoins sont souvent concomitants : au manque d’accès à l’électricité se superpose souvent le manque d’accès à l’eau ou le manque de gestion des déchets. Il est donc difficile d’assurer des conditions de vie dignes si l’un de ces trois services – accès à l’eau et à l’assainissement, accès à l’électricité, accès à un système de gestion des déchets – n’est pas assuré et c’est d’ailleurs le sens de l’Agenda 2030 qui promeut une vision intégrée du développement. Par ailleurs, il existe de fortes </w:t>
      </w:r>
      <w:r w:rsidRPr="001E15D6">
        <w:rPr>
          <w:rFonts w:cstheme="minorHAnsi"/>
        </w:rPr>
        <w:lastRenderedPageBreak/>
        <w:t>interdépendances entre les secteurs considérés : l’accès à l’énergie est un facteur clé pour pérenniser l’accès à l’eau potable, l’assainissement liquide dans les petites et grandes agglomérations ne peut se concevoir sans agir sur la problématique des déchets solides et la valorisation des déchets est une source d’énergie renouvelable et un enjeu écologique majeur.</w:t>
      </w:r>
    </w:p>
    <w:p w:rsidR="00F55B7A" w:rsidRPr="001E15D6" w:rsidRDefault="00F55B7A" w:rsidP="00F55B7A">
      <w:pPr>
        <w:pBdr>
          <w:top w:val="nil"/>
          <w:left w:val="nil"/>
          <w:bottom w:val="nil"/>
          <w:right w:val="nil"/>
          <w:between w:val="nil"/>
        </w:pBdr>
        <w:tabs>
          <w:tab w:val="left" w:pos="3600"/>
          <w:tab w:val="left" w:pos="7200"/>
        </w:tabs>
        <w:rPr>
          <w:rFonts w:cstheme="minorHAnsi"/>
          <w:color w:val="000000"/>
        </w:rPr>
      </w:pPr>
      <w:r w:rsidRPr="001E15D6">
        <w:rPr>
          <w:rFonts w:cstheme="minorHAnsi"/>
          <w:color w:val="000000"/>
        </w:rPr>
        <w:t xml:space="preserve">En France, de nombreux acteurs non étatiques se mobilisent pour remédier à cette situation en accompagnant leurs partenaires des pays à faibles revenus pour l’atteinte des ODD, via des actions locales de coopération. </w:t>
      </w:r>
      <w:r w:rsidRPr="001E15D6">
        <w:rPr>
          <w:rFonts w:cstheme="minorHAnsi"/>
        </w:rPr>
        <w:t>Selon le ministère de l’Europe et des Affaires étrangères, « près de 5 000 collectivités territoriales françaises mènent des actions de développement à l’étranger avec plus de 8 000 collectivités locales partenaires, totalisant plus de 10 000 projets dans 134 pays ». Désormais encadrée par la loi n° 2014-773 du 7 juillet 2014, l’action extérieure des collectivités permet d’établir des liens de coopération de territoire à territoire et de mobiliser l’expertise et les moyens des collectivités territoriales françaises autour d’enjeux globaux tels que la lutte contre le changement climatique ou l’accès à des conditions de vie dignes nécessitant une action ancrée localement.</w:t>
      </w:r>
      <w:r w:rsidRPr="001E15D6">
        <w:rPr>
          <w:rFonts w:cstheme="minorHAnsi"/>
          <w:color w:val="000000"/>
        </w:rPr>
        <w:t xml:space="preserve"> </w:t>
      </w:r>
      <w:r w:rsidRPr="001E15D6">
        <w:rPr>
          <w:rFonts w:cstheme="minorHAnsi"/>
        </w:rPr>
        <w:t xml:space="preserve">Parmi les différents outils à leur disposition pour mettre en œuvre leurs actions extérieures, </w:t>
      </w:r>
      <w:r w:rsidRPr="001E15D6">
        <w:rPr>
          <w:rFonts w:cstheme="minorHAnsi"/>
          <w:b/>
          <w:bCs/>
        </w:rPr>
        <w:t>les collectivités territoriales peuvent mobiliser</w:t>
      </w:r>
      <w:r w:rsidRPr="001E15D6">
        <w:rPr>
          <w:rFonts w:cstheme="minorHAnsi"/>
        </w:rPr>
        <w:t xml:space="preserve"> plusieurs dispositifs spécifiques dans le domaine des services de base: </w:t>
      </w:r>
      <w:r w:rsidRPr="001E15D6">
        <w:rPr>
          <w:rFonts w:cstheme="minorHAnsi"/>
          <w:b/>
          <w:bCs/>
        </w:rPr>
        <w:t>le 1 % Eau (depuis 2005), le 1 % Energie (depuis 2006) et le 1 % Déchets (depuis 2014).</w:t>
      </w:r>
      <w:r w:rsidRPr="001E15D6">
        <w:rPr>
          <w:rFonts w:cstheme="minorHAnsi"/>
        </w:rPr>
        <w:t xml:space="preserve"> Si chacun de ces dispositifs dispose de règles spécifiques, ils ont une philosophie commune : créer des </w:t>
      </w:r>
      <w:r w:rsidRPr="001E15D6">
        <w:rPr>
          <w:rFonts w:cstheme="minorHAnsi"/>
          <w:color w:val="000000"/>
        </w:rPr>
        <w:t xml:space="preserve">mécanismes de financement solidaire entre usagers des services essentiels en </w:t>
      </w:r>
      <w:r w:rsidRPr="001E15D6">
        <w:rPr>
          <w:rFonts w:cstheme="minorHAnsi"/>
        </w:rPr>
        <w:t xml:space="preserve">permettant aux collectivités françaises de consacrer jusqu’à 1 % des recettes liées à la mise en œuvre du service localement à des actions internationales. </w:t>
      </w:r>
      <w:bookmarkStart w:id="54" w:name="_GoBack"/>
      <w:bookmarkEnd w:id="54"/>
    </w:p>
    <w:p w:rsidR="00F55B7A" w:rsidRPr="001E15D6" w:rsidRDefault="00F55B7A" w:rsidP="00F55B7A">
      <w:pPr>
        <w:pBdr>
          <w:top w:val="nil"/>
          <w:left w:val="nil"/>
          <w:bottom w:val="nil"/>
          <w:right w:val="nil"/>
          <w:between w:val="nil"/>
        </w:pBdr>
        <w:tabs>
          <w:tab w:val="left" w:pos="3600"/>
          <w:tab w:val="left" w:pos="7200"/>
        </w:tabs>
        <w:spacing w:after="120"/>
        <w:rPr>
          <w:rFonts w:cstheme="minorHAnsi"/>
          <w:color w:val="000000"/>
        </w:rPr>
      </w:pPr>
      <w:r w:rsidRPr="001E15D6">
        <w:rPr>
          <w:rFonts w:cstheme="minorHAnsi"/>
          <w:color w:val="000000"/>
        </w:rPr>
        <w:t>Parmi ces mécanismes, le 1% Eau est le plus ancien. Introduit par la loi « Oudin-Santin » (2005), il permet aux collectivités de mobiliser des capacités de financement allant jusqu’à 1% des ressources affectées aux services considérés. L’amendement « Pintat » (2006) étend rapidement ce dispositif aux « </w:t>
      </w:r>
      <w:r w:rsidRPr="001E15D6">
        <w:rPr>
          <w:rFonts w:cstheme="minorHAnsi"/>
          <w:i/>
          <w:iCs/>
          <w:color w:val="000000"/>
        </w:rPr>
        <w:t xml:space="preserve">service public de distribution d'électricité et de gaz ». </w:t>
      </w:r>
      <w:r w:rsidRPr="001E15D6">
        <w:rPr>
          <w:rFonts w:cstheme="minorHAnsi"/>
          <w:color w:val="000000"/>
        </w:rPr>
        <w:t xml:space="preserve">La loi n° 2014-773 du 7 juillet 2014 d'orientation et de programmation relative à la politique de développement et de solidarité internationale étend au secteur de la collecte et du traitement des déchets ménagers le mécanisme du 1%. </w:t>
      </w:r>
      <w:r w:rsidRPr="001E15D6">
        <w:rPr>
          <w:rFonts w:cstheme="minorHAnsi"/>
          <w:b/>
          <w:bCs/>
          <w:color w:val="000000"/>
        </w:rPr>
        <w:t>Ces mécanismes permettent aux collectivités qui les mobilisent de mettre en œuvre des actions de coopération décentralisée dans des territoires spécifiques, le plus souvent en faisant appel à une OSC spécialisée qui dispose de partenaires locaux</w:t>
      </w:r>
      <w:r w:rsidRPr="001E15D6">
        <w:rPr>
          <w:rFonts w:cstheme="minorHAnsi"/>
          <w:color w:val="000000"/>
        </w:rPr>
        <w:t xml:space="preserve"> dans les territoires en question (il est à noter que plus de 90 % des projets des collectivités impliquent l’intervention d’ONG, depuis la fourniture d’expertise jusqu’à la réalisation intégrale des projets). </w:t>
      </w:r>
    </w:p>
    <w:p w:rsidR="00F55B7A" w:rsidRPr="001E15D6" w:rsidRDefault="00F55B7A" w:rsidP="00F55B7A">
      <w:pPr>
        <w:pBdr>
          <w:top w:val="nil"/>
          <w:left w:val="nil"/>
          <w:bottom w:val="nil"/>
          <w:right w:val="nil"/>
          <w:between w:val="nil"/>
        </w:pBdr>
        <w:tabs>
          <w:tab w:val="left" w:pos="3600"/>
          <w:tab w:val="left" w:pos="7200"/>
        </w:tabs>
        <w:spacing w:after="120"/>
        <w:rPr>
          <w:rFonts w:cstheme="minorHAnsi"/>
          <w:color w:val="000000"/>
        </w:rPr>
      </w:pPr>
      <w:r w:rsidRPr="001E15D6">
        <w:rPr>
          <w:rFonts w:cstheme="minorHAnsi"/>
          <w:color w:val="000000"/>
        </w:rPr>
        <w:t xml:space="preserve">Parfois, elles font appel directement à une OSC locale. Elles peuvent aussi impliquer – plus rarement - leurs équipes dans la mise en œuvre de ces actions. Ces mécanismes ont rencontré un succès plus ou moins grand selon l’ancienneté du dispositif, les caractéristiques du dispositif (collectivités concernées, assiette, valorisation budgétaire…) et les dynamiques sectorielles préexistantes (beaucoup moins d’OSC dans le secteur des déchets ou de l’énergie que dans l’eau). </w:t>
      </w:r>
    </w:p>
    <w:p w:rsidR="00F55B7A" w:rsidRPr="001E15D6" w:rsidRDefault="00F55B7A" w:rsidP="00F55B7A">
      <w:pPr>
        <w:pBdr>
          <w:top w:val="nil"/>
          <w:left w:val="nil"/>
          <w:bottom w:val="nil"/>
          <w:right w:val="nil"/>
          <w:between w:val="nil"/>
        </w:pBdr>
        <w:tabs>
          <w:tab w:val="left" w:pos="3600"/>
          <w:tab w:val="left" w:pos="7200"/>
        </w:tabs>
        <w:rPr>
          <w:rFonts w:cstheme="minorHAnsi"/>
          <w:color w:val="000000"/>
        </w:rPr>
      </w:pPr>
      <w:r w:rsidRPr="001E15D6">
        <w:rPr>
          <w:rFonts w:cstheme="minorHAnsi"/>
          <w:color w:val="000000"/>
        </w:rPr>
        <w:t xml:space="preserve">Cependant, la logique sectorielle des 1 % ne favorise pas l’adoption d’une vision intégrée des services de base. Chaque dispositif reste assez cloisonné, avec ses propres règles, sa propre assiette, son propre écosystème d’actrices et d’acteurs. </w:t>
      </w:r>
    </w:p>
    <w:p w:rsidR="00121572" w:rsidRDefault="00121572" w:rsidP="00121572">
      <w:pPr>
        <w:pBdr>
          <w:top w:val="nil"/>
          <w:left w:val="nil"/>
          <w:bottom w:val="nil"/>
          <w:right w:val="nil"/>
          <w:between w:val="nil"/>
        </w:pBdr>
        <w:tabs>
          <w:tab w:val="left" w:pos="3600"/>
          <w:tab w:val="left" w:pos="7200"/>
        </w:tabs>
        <w:rPr>
          <w:rFonts w:cstheme="minorHAnsi"/>
        </w:rPr>
      </w:pPr>
      <w:r w:rsidRPr="001E15D6">
        <w:rPr>
          <w:rFonts w:cstheme="minorHAnsi"/>
        </w:rPr>
        <w:t xml:space="preserve">Ce projet s’inscrit </w:t>
      </w:r>
      <w:r>
        <w:rPr>
          <w:rFonts w:cstheme="minorHAnsi"/>
        </w:rPr>
        <w:t xml:space="preserve"> </w:t>
      </w:r>
      <w:r w:rsidRPr="001E15D6">
        <w:rPr>
          <w:rFonts w:cstheme="minorHAnsi"/>
        </w:rPr>
        <w:t>dans la continuité des lois Notre et MAPTAM qui ont largement redéfini les compétences et missions des différentes collectivités territoriales, renforçant notamment la mutualisation des services essentiels via les EPCI. Alors que les nouveaux exécutifs locaux viennent d’être élus, le moment apparaît opportun pour porter une vision renouvelée de la coopération décentralisée dans les services essentiels et accompagner les actrices et acteurs de la coopération décentralisée en la matière.</w:t>
      </w:r>
    </w:p>
    <w:p w:rsidR="00121572" w:rsidRDefault="00F55B7A" w:rsidP="00F55B7A">
      <w:pPr>
        <w:pBdr>
          <w:top w:val="nil"/>
          <w:left w:val="nil"/>
          <w:bottom w:val="nil"/>
          <w:right w:val="nil"/>
          <w:between w:val="nil"/>
        </w:pBdr>
        <w:tabs>
          <w:tab w:val="left" w:pos="3600"/>
          <w:tab w:val="left" w:pos="7200"/>
        </w:tabs>
        <w:rPr>
          <w:rFonts w:cstheme="minorHAnsi"/>
          <w:b/>
          <w:bCs/>
          <w:color w:val="000000"/>
        </w:rPr>
      </w:pPr>
      <w:r w:rsidRPr="001E15D6">
        <w:rPr>
          <w:rFonts w:cstheme="minorHAnsi"/>
          <w:b/>
          <w:bCs/>
          <w:color w:val="000000"/>
        </w:rPr>
        <w:lastRenderedPageBreak/>
        <w:t xml:space="preserve">Le projet « Rapprochement de l’animation des 1 % solidaires Eau Energie Déchets »  </w:t>
      </w:r>
    </w:p>
    <w:p w:rsidR="00121572" w:rsidRPr="00121572" w:rsidRDefault="00121572" w:rsidP="00F55B7A">
      <w:pPr>
        <w:pBdr>
          <w:top w:val="nil"/>
          <w:left w:val="nil"/>
          <w:bottom w:val="nil"/>
          <w:right w:val="nil"/>
          <w:between w:val="nil"/>
        </w:pBdr>
        <w:tabs>
          <w:tab w:val="left" w:pos="3600"/>
          <w:tab w:val="left" w:pos="7200"/>
        </w:tabs>
        <w:rPr>
          <w:rFonts w:cstheme="minorHAnsi"/>
          <w:bCs/>
          <w:color w:val="000000"/>
        </w:rPr>
      </w:pPr>
      <w:r w:rsidRPr="00121572">
        <w:rPr>
          <w:rFonts w:cstheme="minorHAnsi"/>
          <w:bCs/>
          <w:color w:val="000000"/>
        </w:rPr>
        <w:t>Le projet de trois ans (2021-2024)</w:t>
      </w:r>
      <w:r>
        <w:rPr>
          <w:rFonts w:cstheme="minorHAnsi"/>
          <w:bCs/>
          <w:color w:val="000000"/>
        </w:rPr>
        <w:t xml:space="preserve"> d’un montant de 1 million d’euros</w:t>
      </w:r>
      <w:r w:rsidRPr="00121572">
        <w:rPr>
          <w:rFonts w:cstheme="minorHAnsi"/>
          <w:bCs/>
          <w:color w:val="000000"/>
        </w:rPr>
        <w:t xml:space="preserve"> est </w:t>
      </w:r>
      <w:r w:rsidR="00601EF3">
        <w:rPr>
          <w:rFonts w:cstheme="minorHAnsi"/>
          <w:bCs/>
          <w:color w:val="000000"/>
        </w:rPr>
        <w:t xml:space="preserve">majoritairement </w:t>
      </w:r>
      <w:r w:rsidRPr="00121572">
        <w:rPr>
          <w:rFonts w:cstheme="minorHAnsi"/>
          <w:bCs/>
          <w:color w:val="000000"/>
        </w:rPr>
        <w:t>financé par l’AFD et l’ADEME</w:t>
      </w:r>
      <w:r>
        <w:rPr>
          <w:rFonts w:cstheme="minorHAnsi"/>
          <w:bCs/>
          <w:color w:val="000000"/>
        </w:rPr>
        <w:t>. Il est porté et piloté par un consortium associant le pS-Eau, Cicle, Amorce et la CIRRMA.</w:t>
      </w:r>
    </w:p>
    <w:p w:rsidR="00F55B7A" w:rsidRPr="001E15D6" w:rsidRDefault="00121572" w:rsidP="00F55B7A">
      <w:pPr>
        <w:pBdr>
          <w:top w:val="nil"/>
          <w:left w:val="nil"/>
          <w:bottom w:val="nil"/>
          <w:right w:val="nil"/>
          <w:between w:val="nil"/>
        </w:pBdr>
        <w:tabs>
          <w:tab w:val="left" w:pos="3600"/>
          <w:tab w:val="left" w:pos="7200"/>
        </w:tabs>
        <w:rPr>
          <w:rFonts w:cstheme="minorHAnsi"/>
          <w:color w:val="000000"/>
        </w:rPr>
      </w:pPr>
      <w:r w:rsidRPr="00121572">
        <w:rPr>
          <w:rFonts w:cstheme="minorHAnsi"/>
          <w:bCs/>
          <w:color w:val="000000"/>
        </w:rPr>
        <w:t xml:space="preserve">Il vise </w:t>
      </w:r>
      <w:r w:rsidR="00F55B7A" w:rsidRPr="00121572">
        <w:rPr>
          <w:rFonts w:cstheme="minorHAnsi"/>
          <w:bCs/>
          <w:color w:val="000000"/>
        </w:rPr>
        <w:t xml:space="preserve"> à apporter</w:t>
      </w:r>
      <w:r w:rsidR="00F55B7A" w:rsidRPr="001E15D6">
        <w:rPr>
          <w:rFonts w:cstheme="minorHAnsi"/>
          <w:b/>
          <w:bCs/>
          <w:color w:val="000000"/>
        </w:rPr>
        <w:t xml:space="preserve"> une cohérence intersectorielle entre les actrices et acteurs des services essentiels et les dispositifs associés pour porter une vision intégrée du secteur et mobiliser davantage d’OSC et de collectivités</w:t>
      </w:r>
      <w:r w:rsidR="00F55B7A" w:rsidRPr="001E15D6">
        <w:rPr>
          <w:rFonts w:cstheme="minorHAnsi"/>
          <w:color w:val="000000"/>
        </w:rPr>
        <w:t xml:space="preserve"> pour mener des actions de coopération décentralisée en la matière. </w:t>
      </w:r>
    </w:p>
    <w:p w:rsidR="00C40FE6" w:rsidRDefault="0005078F" w:rsidP="0005078F">
      <w:pPr>
        <w:pBdr>
          <w:top w:val="nil"/>
          <w:left w:val="nil"/>
          <w:bottom w:val="nil"/>
          <w:right w:val="nil"/>
          <w:between w:val="nil"/>
        </w:pBdr>
        <w:tabs>
          <w:tab w:val="left" w:pos="3600"/>
          <w:tab w:val="left" w:pos="7200"/>
        </w:tabs>
        <w:jc w:val="both"/>
        <w:rPr>
          <w:rFonts w:cstheme="minorHAnsi"/>
          <w:color w:val="000000"/>
        </w:rPr>
      </w:pPr>
      <w:r w:rsidRPr="0005078F">
        <w:rPr>
          <w:rFonts w:cstheme="minorHAnsi"/>
          <w:b/>
          <w:color w:val="000000"/>
        </w:rPr>
        <w:t>Les commanditaires</w:t>
      </w:r>
      <w:r>
        <w:rPr>
          <w:rFonts w:cstheme="minorHAnsi"/>
          <w:b/>
          <w:color w:val="000000"/>
        </w:rPr>
        <w:t xml:space="preserve"> des 3 capitalisations</w:t>
      </w:r>
      <w:r w:rsidRPr="0005078F">
        <w:rPr>
          <w:rFonts w:cstheme="minorHAnsi"/>
          <w:b/>
          <w:color w:val="000000"/>
        </w:rPr>
        <w:t xml:space="preserve"> sont l</w:t>
      </w:r>
      <w:r w:rsidR="00C40FE6" w:rsidRPr="0005078F">
        <w:rPr>
          <w:rFonts w:cstheme="minorHAnsi"/>
          <w:b/>
          <w:color w:val="000000"/>
        </w:rPr>
        <w:t xml:space="preserve">es partenaires ainsi mobilisés </w:t>
      </w:r>
      <w:r w:rsidR="00E24F0D" w:rsidRPr="0005078F">
        <w:rPr>
          <w:rFonts w:cstheme="minorHAnsi"/>
          <w:b/>
          <w:color w:val="000000"/>
        </w:rPr>
        <w:t xml:space="preserve">dans le programme de rapprochement de l’animation des 3 x 1 % </w:t>
      </w:r>
      <w:r w:rsidR="00C40FE6">
        <w:rPr>
          <w:rFonts w:cstheme="minorHAnsi"/>
          <w:color w:val="000000"/>
        </w:rPr>
        <w:t> :</w:t>
      </w:r>
    </w:p>
    <w:p w:rsidR="00C40FE6" w:rsidRPr="00B4639B" w:rsidRDefault="00C40FE6" w:rsidP="00C40FE6">
      <w:pPr>
        <w:spacing w:after="144"/>
        <w:ind w:left="360"/>
        <w:jc w:val="both"/>
        <w:rPr>
          <w:rFonts w:cstheme="minorHAnsi"/>
          <w:b/>
        </w:rPr>
      </w:pPr>
      <w:r w:rsidRPr="00B4639B">
        <w:rPr>
          <w:rFonts w:cstheme="minorHAnsi"/>
          <w:b/>
        </w:rPr>
        <w:t>Le pS-Eau</w:t>
      </w:r>
      <w:r w:rsidRPr="00B4639B">
        <w:rPr>
          <w:rFonts w:cstheme="minorHAnsi"/>
        </w:rPr>
        <w:t>, créé en 1984, est le réseau de référence des actrices et acteurs francophones de l'eau, de l’assainissement et de l’hygiène et œuvre en faveur d’un accès universel à l'eau potable et à l'assainissement. Multiacteurs, il rassemble des associations de solidarité internationale, des collectivités territoriales, des organisations professionnelles de l’eau et du secteur de la recherche, les pouvoirs publics. Son fonctionnement en réseau (groupes de travail, ateliers, accès gratuit aux productions, etc.) lui permet de bénéficier de l’expertise des membres du réseau (+ de 10 000 personnes) au Nord comme au Sud) qui contribuent activement aux productions d’outils au service de tous. Particulièrement présent dans les pays du Sahel, le réseau pS-Eau est une organisation référente pour tous les acteurs du secteur de l’eau qui y trouvent l’information et l’appui nécessaire au développement des services. Le pS-Eau est aussi un centre de ressources reconnu dans le secteur avec une production soutenue d’études et de documentation sur des thématiques métier et/ou méthodologiques. Après avoir longtemps milité pour la mise en place du dispositif 1% solidarité Eau, le pS-Eau assure un travail d’animation important du dispositif : publication de plaquettes et documents de sensibilisation sur le 1% Eau, bilans annuels de l’AECT en matière d’eau et d’assainissement, accompagnement des collectivités pour monter des dispositifs de type « fonds Eau », accompagnement individuel des actrices et acteurs souhaitant monter des projets mobilisant le 1% Eau, mise en contacts des actrices et acteurs… A ce titre, le pS-Eau travaille en partenariat avec les membres de la CIRRMA. Des conventions de partenariat existent déjà avec la grande majorité des RRMA sur la thématique de l’accès à l’eau à l’assaini</w:t>
      </w:r>
      <w:r w:rsidRPr="00B4639B">
        <w:rPr>
          <w:rFonts w:cstheme="minorHAnsi"/>
          <w:b/>
        </w:rPr>
        <w:t>ssement.</w:t>
      </w:r>
    </w:p>
    <w:p w:rsidR="00C40FE6" w:rsidRPr="00B4639B" w:rsidRDefault="00C40FE6" w:rsidP="00C40FE6">
      <w:pPr>
        <w:spacing w:after="144"/>
        <w:ind w:left="360"/>
        <w:jc w:val="both"/>
        <w:rPr>
          <w:rFonts w:cstheme="minorHAnsi"/>
        </w:rPr>
      </w:pPr>
      <w:r w:rsidRPr="00B4639B">
        <w:rPr>
          <w:rFonts w:cstheme="minorHAnsi"/>
          <w:b/>
        </w:rPr>
        <w:t>AMORCE</w:t>
      </w:r>
      <w:r w:rsidRPr="00B4639B">
        <w:rPr>
          <w:rFonts w:cstheme="minorHAnsi"/>
        </w:rPr>
        <w:t>, créé en 1987, est le premier réseau français d’information, de partage d’expériences et d’accompagnement des collectivités et acteurs locaux. Outre l’apport d’expertise, AMORCE favorise l’échange de bonnes pratiques entre membres et joue un rôle de défense des intérêts des collectivités et acteurs locaux dans l’élaboration de lois et règlements pouvant les impacter. Depuis la mise en place du 1% déchets (2014), AMORCE est pilote du comité technique du 1% déchets et sensibilise les collectivités pour qu’elles mobilisent ce dispositif. Amorce réalise aussi un travail de veille sur les financements accordés tandis que plusieurs groupes d’échanges destinés à promouvoir l’action internationale et le dispositif 1 % déchets ont également été organisés en partenariat avec la DAECT depuis 2016. AMORCE a aussi lancé fin 2020 un nouveau centre de ressources, disponible sur le site internet d’AMORCE et accessible à tous, afin de promouvoir le dispositif du 1 % et la mise en œuvre d’actions décentralisées sur la thématique déchets dans les pays du sud. Ce centre de ressources, ou « Déchethèque », entend capitaliser les divers outils et ressources construits durant le projet PAGEDS.</w:t>
      </w:r>
    </w:p>
    <w:p w:rsidR="00C40FE6" w:rsidRPr="00B4639B" w:rsidRDefault="00C40FE6" w:rsidP="00C40FE6">
      <w:pPr>
        <w:spacing w:after="144"/>
        <w:ind w:left="360"/>
        <w:jc w:val="both"/>
        <w:rPr>
          <w:rFonts w:cstheme="minorHAnsi"/>
        </w:rPr>
      </w:pPr>
      <w:r w:rsidRPr="00F026DF">
        <w:rPr>
          <w:rFonts w:cstheme="minorHAnsi"/>
          <w:b/>
        </w:rPr>
        <w:t>Le réseau CICLE</w:t>
      </w:r>
      <w:r w:rsidRPr="00B4639B">
        <w:rPr>
          <w:rFonts w:cstheme="minorHAnsi"/>
        </w:rPr>
        <w:t xml:space="preserve"> est un réseau multiacteurs de coopération en matière de climat et d’énergie créé en 2015 comportant notamment parmi ses membres, outre des ONG et des collectivités, des acteurs privés. Depuis 2020, le pS-Eau assure le portage administratif et financier du réseau CICLE </w:t>
      </w:r>
      <w:r w:rsidRPr="00B4639B">
        <w:rPr>
          <w:rFonts w:cstheme="minorHAnsi"/>
        </w:rPr>
        <w:lastRenderedPageBreak/>
        <w:t xml:space="preserve">qui dispose d’une gouvernance propre,  distincte de celle du pS-Eau, avec un comité de pilotage présidé par Electriciens Sans Frontières. Le réseau CICLE est un espace d’échanges entre praticiens et professionnels de la solidarité en matière d’énergie, qui outre une animation globale de la coopération dans le secteur de l’énergie et du climat mène des actions d’animation du 1% : plaquette d’information, sensibilisation des syndicats d’électricité, étude sur la mobilisation du 1% en 2019… </w:t>
      </w:r>
    </w:p>
    <w:p w:rsidR="00C40FE6" w:rsidRPr="00B4639B" w:rsidRDefault="00C40FE6" w:rsidP="00C40FE6">
      <w:pPr>
        <w:pBdr>
          <w:top w:val="nil"/>
          <w:left w:val="nil"/>
          <w:bottom w:val="nil"/>
          <w:right w:val="nil"/>
          <w:between w:val="nil"/>
        </w:pBdr>
        <w:tabs>
          <w:tab w:val="left" w:pos="3600"/>
          <w:tab w:val="left" w:pos="7200"/>
        </w:tabs>
        <w:spacing w:after="0"/>
        <w:ind w:left="360"/>
        <w:rPr>
          <w:rFonts w:cstheme="minorHAnsi"/>
        </w:rPr>
      </w:pPr>
      <w:r w:rsidRPr="00B4639B">
        <w:rPr>
          <w:rFonts w:cstheme="minorHAnsi"/>
        </w:rPr>
        <w:t>Ces 3 réseaux collaborent avec les réseaux</w:t>
      </w:r>
      <w:r w:rsidR="00601EF3">
        <w:rPr>
          <w:rFonts w:cstheme="minorHAnsi"/>
        </w:rPr>
        <w:t xml:space="preserve"> régionaux multi-acteurs (RRMA), 5 RRMA membres de la CIRRMA  sont mobilisés dans le programme (So-coopération, Liane Coopération, Centraider, BFCI, Gescod)  </w:t>
      </w:r>
    </w:p>
    <w:p w:rsidR="00C40FE6" w:rsidRPr="00B4639B" w:rsidRDefault="00C40FE6" w:rsidP="00C40FE6">
      <w:pPr>
        <w:pBdr>
          <w:top w:val="nil"/>
          <w:left w:val="nil"/>
          <w:bottom w:val="nil"/>
          <w:right w:val="nil"/>
          <w:between w:val="nil"/>
        </w:pBdr>
        <w:tabs>
          <w:tab w:val="left" w:pos="3600"/>
          <w:tab w:val="left" w:pos="7200"/>
        </w:tabs>
        <w:spacing w:after="0"/>
        <w:ind w:left="360"/>
        <w:rPr>
          <w:rFonts w:cstheme="minorHAnsi"/>
        </w:rPr>
      </w:pPr>
    </w:p>
    <w:p w:rsidR="00C40FE6" w:rsidRDefault="00C40FE6" w:rsidP="00C40FE6">
      <w:pPr>
        <w:pBdr>
          <w:top w:val="nil"/>
          <w:left w:val="nil"/>
          <w:bottom w:val="nil"/>
          <w:right w:val="nil"/>
          <w:between w:val="nil"/>
        </w:pBdr>
        <w:tabs>
          <w:tab w:val="left" w:pos="851"/>
        </w:tabs>
        <w:spacing w:after="0"/>
        <w:ind w:left="360"/>
        <w:jc w:val="both"/>
        <w:rPr>
          <w:rFonts w:cstheme="minorHAnsi"/>
        </w:rPr>
      </w:pPr>
      <w:r w:rsidRPr="00F026DF">
        <w:rPr>
          <w:rFonts w:cstheme="minorHAnsi"/>
          <w:b/>
        </w:rPr>
        <w:t>La CIRRMA,</w:t>
      </w:r>
      <w:r w:rsidRPr="00B4639B">
        <w:rPr>
          <w:rFonts w:cstheme="minorHAnsi"/>
        </w:rPr>
        <w:t xml:space="preserve"> Conférence Inter-RRMA est née en 2019, permettant de structurer le dialogue entre RRMA, pour certains présents depuis plus de 20 ans sur les territoires. Les RRMA (5 sont partenaires au sein du consortium) font un accompagnement et une animation de proximité en s’appuyant sur les réseaux thématiques. Ils planifient et co-organisent avec les différents réseaux 1 % les actions sur les territoires en vue de rencontres multi-acteurs (collectivités territoriales, associations, acteurs économiques etc.). De manière plus ascendante, les RRMA apportent une connaissance fine du territoire en recensant les politiques locales innovantes ou volontaristes dans le domaine de l’eau, de l’énergie ou des déchets. Ils sont en relation avec un ensemble de structures compétentes des territoires dans les domaines concernés (Agences de l’eau, EPCI, ADEME, etc.). Ils permettent de mieux cibler les actions de sensibilisation dans les territoires qui ont chacun leur spécificité dans leur approche de développement durable. Les RRMA ont un rôle majeur pour constituer une co-expertise et apporter des appuis, tant au niveau local que national, mobilisables plus efficacement </w:t>
      </w:r>
    </w:p>
    <w:p w:rsidR="00121572" w:rsidRDefault="00121572" w:rsidP="00C40FE6">
      <w:pPr>
        <w:pBdr>
          <w:top w:val="nil"/>
          <w:left w:val="nil"/>
          <w:bottom w:val="nil"/>
          <w:right w:val="nil"/>
          <w:between w:val="nil"/>
        </w:pBdr>
        <w:tabs>
          <w:tab w:val="left" w:pos="851"/>
        </w:tabs>
        <w:spacing w:after="0"/>
        <w:ind w:left="360"/>
        <w:jc w:val="both"/>
        <w:rPr>
          <w:rFonts w:cstheme="minorHAnsi"/>
        </w:rPr>
      </w:pPr>
    </w:p>
    <w:p w:rsidR="00FF62A6" w:rsidRPr="00D1471F" w:rsidRDefault="00FF62A6" w:rsidP="001B2009">
      <w:pPr>
        <w:pStyle w:val="Titre2"/>
        <w:numPr>
          <w:ilvl w:val="1"/>
          <w:numId w:val="11"/>
        </w:numPr>
      </w:pPr>
      <w:bookmarkStart w:id="55" w:name="_Toc93658857"/>
      <w:r w:rsidRPr="00D1471F">
        <w:t xml:space="preserve">Objectifs </w:t>
      </w:r>
      <w:r w:rsidR="00601EF3">
        <w:t>du programme de rapprochement de l’animation des 3 x 1 %</w:t>
      </w:r>
      <w:r w:rsidRPr="00D1471F">
        <w:t xml:space="preserve"> et stratégie d’intervention</w:t>
      </w:r>
      <w:bookmarkEnd w:id="55"/>
    </w:p>
    <w:p w:rsidR="00601EF3" w:rsidRDefault="00601EF3" w:rsidP="00FF62A6">
      <w:pPr>
        <w:pBdr>
          <w:top w:val="nil"/>
          <w:left w:val="nil"/>
          <w:bottom w:val="nil"/>
          <w:right w:val="nil"/>
          <w:between w:val="nil"/>
        </w:pBdr>
        <w:tabs>
          <w:tab w:val="left" w:pos="3600"/>
          <w:tab w:val="left" w:pos="7200"/>
        </w:tabs>
        <w:rPr>
          <w:rFonts w:cstheme="minorHAnsi"/>
          <w:b/>
          <w:bCs/>
          <w:color w:val="000000"/>
        </w:rPr>
      </w:pPr>
    </w:p>
    <w:p w:rsidR="00FF62A6" w:rsidRPr="001E15D6" w:rsidRDefault="00FF62A6" w:rsidP="00FF62A6">
      <w:pPr>
        <w:pBdr>
          <w:top w:val="nil"/>
          <w:left w:val="nil"/>
          <w:bottom w:val="nil"/>
          <w:right w:val="nil"/>
          <w:between w:val="nil"/>
        </w:pBdr>
        <w:tabs>
          <w:tab w:val="left" w:pos="3600"/>
          <w:tab w:val="left" w:pos="7200"/>
        </w:tabs>
        <w:rPr>
          <w:rFonts w:cstheme="minorHAnsi"/>
          <w:color w:val="000000"/>
        </w:rPr>
      </w:pPr>
      <w:r w:rsidRPr="001E15D6">
        <w:rPr>
          <w:rFonts w:cstheme="minorHAnsi"/>
          <w:b/>
          <w:bCs/>
          <w:color w:val="000000"/>
        </w:rPr>
        <w:t>La dynamique partenariale est le cœur même du présent projet</w:t>
      </w:r>
      <w:r w:rsidRPr="001E15D6">
        <w:rPr>
          <w:rFonts w:cstheme="minorHAnsi"/>
          <w:color w:val="000000"/>
        </w:rPr>
        <w:t xml:space="preserve"> : 3 collectifs multi-actrices / acteurs assurent aujourd’hui le travail d’animation des 1%: le pS-Eau pour le 1% Eau, le réseau CICLE pour le 1% Energie et AMORCE pour le 1% Déchets. Cette mobilisation se fait en ordre dispersé, chacun des réseaux 1 % abordant les collectivités françaises via la thématique qu’il connaît le mieux. C'est aussi le cas à l'échelle des territoires dans les pays du Sud : les OSC peinent à mutualiser et à passer à l'échelle et ont besoin d'être accompagnées pour mettre en place des programmes transversaux qui abordent l'eau, l'énergie et les déchets de façon globale pour plus d'efficacité de leurs actions. Cette situation, reflet d’une structuration plus globale des actrices et acteurs de ces secteurs ne facilite pas la mise en œuvre d’une vision intégrée des services de base. Les actions de coopération décentralisée « mixtes » (eau-énergie, déchets-énergie, eau-déchets ou les trois) restent rares et se heurtent au cloisonnement entre dispositifs. </w:t>
      </w:r>
    </w:p>
    <w:p w:rsidR="00FF62A6" w:rsidRPr="001E15D6" w:rsidRDefault="00FF62A6" w:rsidP="00FF62A6">
      <w:pPr>
        <w:pBdr>
          <w:top w:val="nil"/>
          <w:left w:val="nil"/>
          <w:bottom w:val="nil"/>
          <w:right w:val="nil"/>
          <w:between w:val="nil"/>
        </w:pBdr>
        <w:tabs>
          <w:tab w:val="left" w:pos="3600"/>
          <w:tab w:val="left" w:pos="7200"/>
        </w:tabs>
        <w:rPr>
          <w:rFonts w:cstheme="minorHAnsi"/>
          <w:color w:val="000000"/>
        </w:rPr>
      </w:pPr>
      <w:r w:rsidRPr="001E15D6">
        <w:rPr>
          <w:rFonts w:cstheme="minorHAnsi"/>
          <w:b/>
          <w:bCs/>
          <w:color w:val="000000"/>
        </w:rPr>
        <w:t>Le projet vise donc à créer un consortium de collectifs jouant un rôle de structuration du milieu associatif capables d’apporter une cohérence intersectorielle</w:t>
      </w:r>
      <w:r w:rsidRPr="001E15D6">
        <w:rPr>
          <w:rFonts w:cstheme="minorHAnsi"/>
          <w:color w:val="000000"/>
        </w:rPr>
        <w:t xml:space="preserve"> entre les actrices et acteurs des services essentiels et les dispositifs associés. Ce consortium réunira les 3 têtes de réseaux sectoriels que sont pS-Eau, AMORCE et CICLE, ainsi que </w:t>
      </w:r>
      <w:r w:rsidRPr="001E15D6">
        <w:rPr>
          <w:rFonts w:cstheme="minorHAnsi"/>
        </w:rPr>
        <w:t>5 RRMA membres de la CIRRMA (BFC International, Centraider, Gescod, Lianes coopération, So Coopération)</w:t>
      </w:r>
      <w:r w:rsidRPr="001E15D6">
        <w:rPr>
          <w:rFonts w:cstheme="minorHAnsi"/>
          <w:color w:val="000000"/>
        </w:rPr>
        <w:t>. Le consortium travaillera en lien étroit avec les réseaux de collectivités engagées à l’international tels que CUF, CGLU, AIMF ainsi que ceux qui, bien que moins spécialisés, ont l’écoute des élus comme l’AMF ou France Urbaine.</w:t>
      </w:r>
    </w:p>
    <w:p w:rsidR="00FF62A6" w:rsidRPr="001E15D6" w:rsidRDefault="00FF62A6" w:rsidP="00FF62A6">
      <w:pPr>
        <w:pBdr>
          <w:top w:val="nil"/>
          <w:left w:val="nil"/>
          <w:bottom w:val="nil"/>
          <w:right w:val="nil"/>
          <w:between w:val="nil"/>
        </w:pBdr>
        <w:tabs>
          <w:tab w:val="left" w:pos="3600"/>
          <w:tab w:val="left" w:pos="7200"/>
        </w:tabs>
        <w:rPr>
          <w:rFonts w:cstheme="minorHAnsi"/>
        </w:rPr>
      </w:pPr>
      <w:r w:rsidRPr="001E15D6">
        <w:rPr>
          <w:rFonts w:cstheme="minorHAnsi"/>
          <w:color w:val="000000"/>
        </w:rPr>
        <w:lastRenderedPageBreak/>
        <w:t xml:space="preserve">L’objectif général du projet est de renforcer </w:t>
      </w:r>
      <w:r w:rsidRPr="001E15D6">
        <w:rPr>
          <w:rFonts w:cstheme="minorHAnsi"/>
        </w:rPr>
        <w:t xml:space="preserve">l’accès aux services essentiels des populations des pays à faibles revenus par une mobilisation accrue des OSC et des collectivités françaises et de leurs partenaires via les « 1 % solidaires » et une approche intégrée des services essentiels. Pour contribuer à la réalisation de cet objectif, il est proposé de : </w:t>
      </w:r>
    </w:p>
    <w:p w:rsidR="00FF62A6" w:rsidRPr="001E15D6" w:rsidRDefault="00FF62A6" w:rsidP="001B2009">
      <w:pPr>
        <w:pStyle w:val="Paragraphedeliste"/>
        <w:numPr>
          <w:ilvl w:val="0"/>
          <w:numId w:val="2"/>
        </w:numPr>
        <w:pBdr>
          <w:top w:val="nil"/>
          <w:left w:val="nil"/>
          <w:bottom w:val="nil"/>
          <w:right w:val="nil"/>
          <w:between w:val="nil"/>
        </w:pBdr>
        <w:tabs>
          <w:tab w:val="left" w:pos="1134"/>
          <w:tab w:val="left" w:pos="7200"/>
        </w:tabs>
        <w:spacing w:before="120" w:after="0" w:line="240" w:lineRule="auto"/>
        <w:jc w:val="both"/>
        <w:rPr>
          <w:rFonts w:cstheme="minorHAnsi"/>
        </w:rPr>
      </w:pPr>
      <w:r w:rsidRPr="001E15D6">
        <w:rPr>
          <w:rFonts w:cstheme="minorHAnsi"/>
        </w:rPr>
        <w:t xml:space="preserve">Construire un consortium d’OSC pour porter une vision intégrée des services essentiels et une animation conjointe des 1%. </w:t>
      </w:r>
    </w:p>
    <w:p w:rsidR="00FF62A6" w:rsidRPr="001E15D6" w:rsidRDefault="00FF62A6" w:rsidP="001B2009">
      <w:pPr>
        <w:pStyle w:val="Paragraphedeliste"/>
        <w:numPr>
          <w:ilvl w:val="0"/>
          <w:numId w:val="2"/>
        </w:numPr>
        <w:pBdr>
          <w:top w:val="nil"/>
          <w:left w:val="nil"/>
          <w:bottom w:val="nil"/>
          <w:right w:val="nil"/>
          <w:between w:val="nil"/>
        </w:pBdr>
        <w:tabs>
          <w:tab w:val="left" w:pos="1134"/>
          <w:tab w:val="left" w:pos="7200"/>
        </w:tabs>
        <w:spacing w:after="0" w:line="240" w:lineRule="auto"/>
        <w:jc w:val="both"/>
        <w:rPr>
          <w:rFonts w:cstheme="minorHAnsi"/>
          <w:color w:val="000000"/>
        </w:rPr>
      </w:pPr>
      <w:r w:rsidRPr="001E15D6">
        <w:rPr>
          <w:rFonts w:cstheme="minorHAnsi"/>
          <w:color w:val="000000"/>
        </w:rPr>
        <w:t>Renforcer les capacités techniques et méthodologiques des actrices et acteurs de la coopération décentralisée menant des actions intégrées relatives aux services essentiels</w:t>
      </w:r>
    </w:p>
    <w:p w:rsidR="00D1471F" w:rsidRPr="00DE1B1C" w:rsidRDefault="00D1471F" w:rsidP="001B2009">
      <w:pPr>
        <w:pStyle w:val="Titre2"/>
        <w:numPr>
          <w:ilvl w:val="1"/>
          <w:numId w:val="11"/>
        </w:numPr>
      </w:pPr>
      <w:bookmarkStart w:id="56" w:name="_Toc93658858"/>
      <w:r>
        <w:t>Objectifs</w:t>
      </w:r>
      <w:r w:rsidRPr="00DE1B1C">
        <w:t xml:space="preserve"> </w:t>
      </w:r>
      <w:r>
        <w:t xml:space="preserve">et contenu </w:t>
      </w:r>
      <w:r w:rsidRPr="00DE1B1C">
        <w:t xml:space="preserve">de </w:t>
      </w:r>
      <w:r>
        <w:t>la prestation</w:t>
      </w:r>
      <w:bookmarkEnd w:id="56"/>
      <w:r w:rsidR="00601EF3">
        <w:t xml:space="preserve"> de capitalisation</w:t>
      </w:r>
    </w:p>
    <w:p w:rsidR="00BB0B93" w:rsidRPr="00BB0B93" w:rsidRDefault="00BB0B93" w:rsidP="00BB0B93">
      <w:pPr>
        <w:pStyle w:val="Titre3"/>
        <w:spacing w:before="200"/>
        <w:ind w:left="720" w:hanging="360"/>
      </w:pPr>
      <w:bookmarkStart w:id="57" w:name="_Toc93658859"/>
      <w:r w:rsidRPr="00BB0B93">
        <w:t>Capitalisations prévues</w:t>
      </w:r>
      <w:bookmarkEnd w:id="57"/>
      <w:r w:rsidRPr="00BB0B93">
        <w:t xml:space="preserve"> </w:t>
      </w:r>
    </w:p>
    <w:p w:rsidR="00234AE6" w:rsidRDefault="00234AE6" w:rsidP="00234AE6">
      <w:pPr>
        <w:pBdr>
          <w:top w:val="nil"/>
          <w:left w:val="nil"/>
          <w:bottom w:val="nil"/>
          <w:right w:val="nil"/>
          <w:between w:val="nil"/>
        </w:pBdr>
        <w:tabs>
          <w:tab w:val="left" w:pos="3600"/>
          <w:tab w:val="left" w:pos="7200"/>
        </w:tabs>
        <w:jc w:val="both"/>
        <w:rPr>
          <w:rFonts w:cstheme="minorHAnsi"/>
          <w:color w:val="000000"/>
        </w:rPr>
      </w:pPr>
      <w:bookmarkStart w:id="58" w:name="_Toc93658860"/>
      <w:r w:rsidRPr="001E15D6">
        <w:rPr>
          <w:rFonts w:cstheme="minorHAnsi"/>
          <w:color w:val="000000"/>
        </w:rPr>
        <w:t>L’idée de s’appuyer sur des expériences vécues</w:t>
      </w:r>
      <w:r>
        <w:rPr>
          <w:rFonts w:cstheme="minorHAnsi"/>
          <w:color w:val="000000"/>
        </w:rPr>
        <w:t xml:space="preserve">, portées ou non par des collectivités territoriales, </w:t>
      </w:r>
      <w:r w:rsidRPr="001E15D6">
        <w:rPr>
          <w:rFonts w:cstheme="minorHAnsi"/>
          <w:color w:val="000000"/>
        </w:rPr>
        <w:t xml:space="preserve"> pour convaincre </w:t>
      </w:r>
      <w:r>
        <w:rPr>
          <w:rFonts w:cstheme="minorHAnsi"/>
          <w:color w:val="000000"/>
        </w:rPr>
        <w:t>celles ci</w:t>
      </w:r>
      <w:r w:rsidRPr="001E15D6">
        <w:rPr>
          <w:rFonts w:cstheme="minorHAnsi"/>
          <w:color w:val="000000"/>
        </w:rPr>
        <w:t xml:space="preserve"> à mieux et plus s’engager est centrale dans le projet de 3 ans de rapprochement de l’animation des dispositifs 1 %.</w:t>
      </w:r>
    </w:p>
    <w:p w:rsidR="00C40FE6" w:rsidRDefault="00C40FE6" w:rsidP="00C40FE6">
      <w:pPr>
        <w:pBdr>
          <w:top w:val="nil"/>
          <w:left w:val="nil"/>
          <w:bottom w:val="nil"/>
          <w:right w:val="nil"/>
          <w:between w:val="nil"/>
        </w:pBdr>
        <w:tabs>
          <w:tab w:val="left" w:pos="3600"/>
          <w:tab w:val="left" w:pos="7200"/>
        </w:tabs>
        <w:jc w:val="both"/>
        <w:rPr>
          <w:rFonts w:cstheme="minorHAnsi"/>
          <w:color w:val="000000"/>
        </w:rPr>
      </w:pPr>
      <w:r w:rsidRPr="001E15D6">
        <w:rPr>
          <w:rFonts w:cstheme="minorHAnsi"/>
          <w:color w:val="000000"/>
        </w:rPr>
        <w:t>Dans le programme de renforcement de l’ani</w:t>
      </w:r>
      <w:r>
        <w:rPr>
          <w:rFonts w:cstheme="minorHAnsi"/>
          <w:color w:val="000000"/>
        </w:rPr>
        <w:t xml:space="preserve">mation des 3 x 1 % (2021-2024) </w:t>
      </w:r>
      <w:r w:rsidRPr="0005078F">
        <w:rPr>
          <w:rFonts w:cstheme="minorHAnsi"/>
          <w:b/>
          <w:color w:val="000000"/>
        </w:rPr>
        <w:t xml:space="preserve">trois capitalisations sont successivement prévues pour donner des outils d’aide à la conception et la mise en œuvre de projets mixtes </w:t>
      </w:r>
      <w:r w:rsidRPr="001E15D6">
        <w:rPr>
          <w:rFonts w:cstheme="minorHAnsi"/>
          <w:color w:val="000000"/>
        </w:rPr>
        <w:t xml:space="preserve">(touchant 2 ou 3 thématiques) aux porteurs de projets. </w:t>
      </w:r>
      <w:r>
        <w:rPr>
          <w:rFonts w:cstheme="minorHAnsi"/>
          <w:color w:val="000000"/>
        </w:rPr>
        <w:t>Un comité de pilotage des capitalisations est constitué (voir plus loin).</w:t>
      </w:r>
    </w:p>
    <w:p w:rsidR="00234AE6" w:rsidRDefault="00234AE6" w:rsidP="00234AE6">
      <w:pPr>
        <w:pBdr>
          <w:top w:val="nil"/>
          <w:left w:val="nil"/>
          <w:bottom w:val="nil"/>
          <w:right w:val="nil"/>
          <w:between w:val="nil"/>
        </w:pBdr>
        <w:tabs>
          <w:tab w:val="left" w:pos="3600"/>
          <w:tab w:val="left" w:pos="7200"/>
        </w:tabs>
        <w:jc w:val="both"/>
        <w:rPr>
          <w:rFonts w:cstheme="minorHAnsi"/>
          <w:color w:val="000000"/>
        </w:rPr>
      </w:pPr>
      <w:r w:rsidRPr="00234AE6">
        <w:rPr>
          <w:rFonts w:cstheme="minorHAnsi"/>
          <w:b/>
          <w:color w:val="000000"/>
        </w:rPr>
        <w:t>L’origine</w:t>
      </w:r>
      <w:r w:rsidRPr="001E15D6">
        <w:rPr>
          <w:rFonts w:cstheme="minorHAnsi"/>
          <w:color w:val="000000"/>
        </w:rPr>
        <w:t xml:space="preserve"> est dans le souhait des membres du consortium (Amorce, pS-Eau, Cicle, CIRRMA) de partager les expériences et les savoirs faire sur trois thématiques relevant de l’accès aux services essentiels (eau, énergie, déchets) pour augmenter le nombre de projets de qualité et les montants mobilisés sur les trois secteurs.</w:t>
      </w:r>
    </w:p>
    <w:p w:rsidR="00234AE6" w:rsidRDefault="00234AE6" w:rsidP="00234AE6">
      <w:pPr>
        <w:pBdr>
          <w:top w:val="nil"/>
          <w:left w:val="nil"/>
          <w:bottom w:val="nil"/>
          <w:right w:val="nil"/>
          <w:between w:val="nil"/>
        </w:pBdr>
        <w:tabs>
          <w:tab w:val="left" w:pos="3600"/>
          <w:tab w:val="left" w:pos="7200"/>
        </w:tabs>
        <w:jc w:val="both"/>
        <w:rPr>
          <w:rFonts w:cstheme="minorHAnsi"/>
          <w:color w:val="000000"/>
        </w:rPr>
      </w:pPr>
      <w:r w:rsidRPr="00234AE6">
        <w:rPr>
          <w:rFonts w:cstheme="minorHAnsi"/>
          <w:b/>
          <w:color w:val="000000"/>
        </w:rPr>
        <w:t>L’enjeu</w:t>
      </w:r>
      <w:r>
        <w:rPr>
          <w:rFonts w:cstheme="minorHAnsi"/>
          <w:color w:val="000000"/>
        </w:rPr>
        <w:t xml:space="preserve"> est de donner des outils aux porteurs de projets pour</w:t>
      </w:r>
      <w:r w:rsidRPr="001E15D6">
        <w:rPr>
          <w:rFonts w:cstheme="minorHAnsi"/>
          <w:color w:val="000000"/>
        </w:rPr>
        <w:t xml:space="preserve"> convaincre par l’exemple les </w:t>
      </w:r>
      <w:r>
        <w:rPr>
          <w:rFonts w:cstheme="minorHAnsi"/>
          <w:color w:val="000000"/>
        </w:rPr>
        <w:t xml:space="preserve">CT (technicien(ne)s et élu(e)s </w:t>
      </w:r>
      <w:r w:rsidRPr="001E15D6">
        <w:rPr>
          <w:rFonts w:cstheme="minorHAnsi"/>
          <w:color w:val="000000"/>
        </w:rPr>
        <w:t xml:space="preserve"> de soutenir des projets mixtes en s’appuyant  sur  les expériences acquises en matière de projets mixtes (eau-énergie, déchets énergie, les trois….)</w:t>
      </w:r>
      <w:r>
        <w:rPr>
          <w:rFonts w:cstheme="minorHAnsi"/>
          <w:color w:val="000000"/>
        </w:rPr>
        <w:t>.</w:t>
      </w:r>
    </w:p>
    <w:p w:rsidR="00601EF3" w:rsidRDefault="00601EF3" w:rsidP="00234AE6">
      <w:pPr>
        <w:pBdr>
          <w:top w:val="nil"/>
          <w:left w:val="nil"/>
          <w:bottom w:val="nil"/>
          <w:right w:val="nil"/>
          <w:between w:val="nil"/>
        </w:pBdr>
        <w:tabs>
          <w:tab w:val="left" w:pos="3600"/>
          <w:tab w:val="left" w:pos="7200"/>
        </w:tabs>
        <w:jc w:val="both"/>
        <w:rPr>
          <w:rFonts w:cstheme="minorHAnsi"/>
          <w:color w:val="000000"/>
        </w:rPr>
      </w:pPr>
      <w:r>
        <w:rPr>
          <w:rFonts w:cstheme="minorHAnsi"/>
          <w:color w:val="000000"/>
        </w:rPr>
        <w:t>Il s’agira dans les trois capitalisation</w:t>
      </w:r>
      <w:r w:rsidR="007C7C91">
        <w:rPr>
          <w:rFonts w:cstheme="minorHAnsi"/>
          <w:color w:val="000000"/>
        </w:rPr>
        <w:t>s</w:t>
      </w:r>
      <w:r>
        <w:rPr>
          <w:rFonts w:cstheme="minorHAnsi"/>
          <w:color w:val="000000"/>
        </w:rPr>
        <w:t xml:space="preserve"> de garder à l’esprit les enjeux suivants :</w:t>
      </w:r>
    </w:p>
    <w:p w:rsidR="001D0AD9" w:rsidRPr="001D0AD9" w:rsidRDefault="001D0AD9" w:rsidP="001D0AD9">
      <w:pPr>
        <w:autoSpaceDE w:val="0"/>
        <w:autoSpaceDN w:val="0"/>
        <w:adjustRightInd w:val="0"/>
        <w:spacing w:after="13" w:line="240" w:lineRule="auto"/>
        <w:rPr>
          <w:rFonts w:ascii="Calibri" w:hAnsi="Calibri" w:cs="Calibri"/>
          <w:color w:val="000000"/>
        </w:rPr>
      </w:pPr>
      <w:r w:rsidRPr="001D0AD9">
        <w:rPr>
          <w:rFonts w:ascii="Calibri" w:hAnsi="Calibri" w:cs="Calibri"/>
          <w:i/>
          <w:iCs/>
          <w:color w:val="000000"/>
        </w:rPr>
        <w:t xml:space="preserve">Partager </w:t>
      </w:r>
      <w:r w:rsidRPr="001D0AD9">
        <w:rPr>
          <w:rFonts w:ascii="Calibri" w:hAnsi="Calibri" w:cs="Calibri"/>
          <w:color w:val="000000"/>
        </w:rPr>
        <w:t>:</w:t>
      </w:r>
      <w:r>
        <w:rPr>
          <w:rFonts w:ascii="Calibri" w:hAnsi="Calibri" w:cs="Calibri"/>
          <w:color w:val="000000"/>
        </w:rPr>
        <w:t xml:space="preserve"> identifier </w:t>
      </w:r>
      <w:r w:rsidRPr="001D0AD9">
        <w:rPr>
          <w:rFonts w:ascii="Calibri" w:hAnsi="Calibri" w:cs="Calibri"/>
          <w:color w:val="000000"/>
        </w:rPr>
        <w:t xml:space="preserve">les savoirs, savoir-faire et savoir-être développés </w:t>
      </w:r>
      <w:r>
        <w:rPr>
          <w:rFonts w:ascii="Calibri" w:hAnsi="Calibri" w:cs="Calibri"/>
          <w:color w:val="000000"/>
        </w:rPr>
        <w:t>par les porteurs de projets mixtes</w:t>
      </w:r>
      <w:r w:rsidR="00601EF3">
        <w:rPr>
          <w:rFonts w:ascii="Calibri" w:hAnsi="Calibri" w:cs="Calibri"/>
          <w:color w:val="000000"/>
        </w:rPr>
        <w:t>.</w:t>
      </w:r>
    </w:p>
    <w:p w:rsidR="001D0AD9" w:rsidRPr="001D0AD9" w:rsidRDefault="001D0AD9" w:rsidP="001D0AD9">
      <w:pPr>
        <w:autoSpaceDE w:val="0"/>
        <w:autoSpaceDN w:val="0"/>
        <w:adjustRightInd w:val="0"/>
        <w:spacing w:after="13" w:line="240" w:lineRule="auto"/>
        <w:rPr>
          <w:rFonts w:ascii="Calibri" w:hAnsi="Calibri" w:cs="Calibri"/>
          <w:color w:val="000000"/>
        </w:rPr>
      </w:pPr>
      <w:r>
        <w:rPr>
          <w:rFonts w:ascii="Calibri" w:hAnsi="Calibri" w:cs="Calibri"/>
          <w:i/>
          <w:iCs/>
          <w:color w:val="000000"/>
        </w:rPr>
        <w:t xml:space="preserve">Renforcer les </w:t>
      </w:r>
      <w:r w:rsidRPr="001D0AD9">
        <w:rPr>
          <w:rFonts w:ascii="Calibri" w:hAnsi="Calibri" w:cs="Calibri"/>
          <w:i/>
          <w:iCs/>
          <w:color w:val="000000"/>
        </w:rPr>
        <w:t xml:space="preserve"> capacités </w:t>
      </w:r>
      <w:r w:rsidR="00601EF3">
        <w:rPr>
          <w:rFonts w:ascii="Calibri" w:hAnsi="Calibri" w:cs="Calibri"/>
          <w:color w:val="000000"/>
        </w:rPr>
        <w:t>: c</w:t>
      </w:r>
      <w:r w:rsidRPr="001D0AD9">
        <w:rPr>
          <w:rFonts w:ascii="Calibri" w:hAnsi="Calibri" w:cs="Calibri"/>
          <w:color w:val="000000"/>
        </w:rPr>
        <w:t xml:space="preserve">omprendre les éléments de réussites et d’échecs </w:t>
      </w:r>
      <w:r>
        <w:rPr>
          <w:rFonts w:ascii="Calibri" w:hAnsi="Calibri" w:cs="Calibri"/>
          <w:color w:val="000000"/>
        </w:rPr>
        <w:t>des projets mixtes</w:t>
      </w:r>
      <w:r w:rsidRPr="001D0AD9">
        <w:rPr>
          <w:rFonts w:ascii="Calibri" w:hAnsi="Calibri" w:cs="Calibri"/>
          <w:color w:val="000000"/>
        </w:rPr>
        <w:t xml:space="preserve"> afin d’être en capacité de reproduire les premiers et d’éviter les seconds. </w:t>
      </w:r>
    </w:p>
    <w:p w:rsidR="001D0AD9" w:rsidRPr="001D0AD9" w:rsidRDefault="001D0AD9" w:rsidP="001D0AD9">
      <w:pPr>
        <w:autoSpaceDE w:val="0"/>
        <w:autoSpaceDN w:val="0"/>
        <w:adjustRightInd w:val="0"/>
        <w:spacing w:after="0" w:line="240" w:lineRule="auto"/>
        <w:rPr>
          <w:rFonts w:ascii="Calibri" w:hAnsi="Calibri" w:cs="Calibri"/>
          <w:color w:val="000000"/>
        </w:rPr>
      </w:pPr>
      <w:r w:rsidRPr="001D0AD9">
        <w:rPr>
          <w:rFonts w:ascii="Calibri" w:hAnsi="Calibri" w:cs="Calibri"/>
          <w:i/>
          <w:iCs/>
          <w:color w:val="000000"/>
        </w:rPr>
        <w:t xml:space="preserve">Innover et produire du changement </w:t>
      </w:r>
      <w:r w:rsidR="00601EF3">
        <w:rPr>
          <w:rFonts w:ascii="Calibri" w:hAnsi="Calibri" w:cs="Calibri"/>
          <w:color w:val="000000"/>
        </w:rPr>
        <w:t>: a</w:t>
      </w:r>
      <w:r w:rsidRPr="001D0AD9">
        <w:rPr>
          <w:rFonts w:ascii="Calibri" w:hAnsi="Calibri" w:cs="Calibri"/>
          <w:color w:val="000000"/>
        </w:rPr>
        <w:t xml:space="preserve">méliorer les pratiques de travail collectif entre les membres </w:t>
      </w:r>
      <w:r w:rsidR="00121572">
        <w:rPr>
          <w:rFonts w:ascii="Calibri" w:hAnsi="Calibri" w:cs="Calibri"/>
          <w:color w:val="000000"/>
        </w:rPr>
        <w:t>du consortium</w:t>
      </w:r>
      <w:r w:rsidR="00601EF3">
        <w:rPr>
          <w:rFonts w:ascii="Calibri" w:hAnsi="Calibri" w:cs="Calibri"/>
          <w:color w:val="000000"/>
        </w:rPr>
        <w:t>.</w:t>
      </w:r>
    </w:p>
    <w:p w:rsidR="001D0AD9" w:rsidRPr="001D0AD9" w:rsidRDefault="001D0AD9" w:rsidP="001D0AD9">
      <w:pPr>
        <w:autoSpaceDE w:val="0"/>
        <w:autoSpaceDN w:val="0"/>
        <w:adjustRightInd w:val="0"/>
        <w:spacing w:after="0" w:line="240" w:lineRule="auto"/>
        <w:rPr>
          <w:rFonts w:ascii="Calibri" w:hAnsi="Calibri" w:cs="Calibri"/>
          <w:color w:val="000000"/>
        </w:rPr>
      </w:pPr>
    </w:p>
    <w:p w:rsidR="00C40FE6" w:rsidRDefault="00C40FE6" w:rsidP="00234AE6">
      <w:pPr>
        <w:pBdr>
          <w:top w:val="nil"/>
          <w:left w:val="nil"/>
          <w:bottom w:val="nil"/>
          <w:right w:val="nil"/>
          <w:between w:val="nil"/>
        </w:pBdr>
        <w:tabs>
          <w:tab w:val="left" w:pos="3600"/>
          <w:tab w:val="left" w:pos="7200"/>
        </w:tabs>
        <w:jc w:val="both"/>
        <w:rPr>
          <w:rFonts w:cstheme="minorHAnsi"/>
          <w:color w:val="000000"/>
        </w:rPr>
      </w:pPr>
      <w:r w:rsidRPr="00C476C3">
        <w:rPr>
          <w:rFonts w:cstheme="minorHAnsi"/>
          <w:b/>
          <w:color w:val="000000"/>
        </w:rPr>
        <w:t>Capitalisation 1</w:t>
      </w:r>
      <w:r>
        <w:rPr>
          <w:rFonts w:cstheme="minorHAnsi"/>
          <w:color w:val="000000"/>
        </w:rPr>
        <w:t xml:space="preserve"> : </w:t>
      </w:r>
      <w:r w:rsidRPr="007275E8">
        <w:rPr>
          <w:rFonts w:cstheme="minorHAnsi"/>
          <w:b/>
          <w:color w:val="000000"/>
        </w:rPr>
        <w:t>Partage des pratiques de montage de projets mixte</w:t>
      </w:r>
      <w:r>
        <w:rPr>
          <w:rFonts w:cstheme="minorHAnsi"/>
          <w:color w:val="000000"/>
        </w:rPr>
        <w:t xml:space="preserve"> </w:t>
      </w:r>
    </w:p>
    <w:p w:rsidR="00C40FE6" w:rsidRDefault="00C40FE6" w:rsidP="00C40FE6">
      <w:pPr>
        <w:pBdr>
          <w:top w:val="nil"/>
          <w:left w:val="nil"/>
          <w:bottom w:val="nil"/>
          <w:right w:val="nil"/>
          <w:between w:val="nil"/>
        </w:pBdr>
        <w:tabs>
          <w:tab w:val="left" w:pos="3600"/>
          <w:tab w:val="left" w:pos="7200"/>
        </w:tabs>
        <w:jc w:val="both"/>
        <w:rPr>
          <w:rFonts w:cstheme="minorHAnsi"/>
          <w:color w:val="000000"/>
        </w:rPr>
      </w:pPr>
      <w:r w:rsidRPr="00C476C3">
        <w:rPr>
          <w:rFonts w:cstheme="minorHAnsi"/>
          <w:color w:val="000000"/>
        </w:rPr>
        <w:t xml:space="preserve">Cette première capitalisation </w:t>
      </w:r>
      <w:r w:rsidRPr="001E15D6">
        <w:rPr>
          <w:rFonts w:cstheme="minorHAnsi"/>
          <w:color w:val="000000"/>
        </w:rPr>
        <w:t xml:space="preserve">vise </w:t>
      </w:r>
      <w:r w:rsidRPr="00601EF3">
        <w:rPr>
          <w:rFonts w:cstheme="minorHAnsi"/>
          <w:b/>
          <w:color w:val="000000"/>
        </w:rPr>
        <w:t>à partager les pratiques de montage de projets mixtes</w:t>
      </w:r>
      <w:r>
        <w:rPr>
          <w:rFonts w:cstheme="minorHAnsi"/>
          <w:color w:val="000000"/>
        </w:rPr>
        <w:t xml:space="preserve"> (accès aux services eau-énergie-déchets)</w:t>
      </w:r>
      <w:r w:rsidRPr="001E15D6">
        <w:rPr>
          <w:rFonts w:cstheme="minorHAnsi"/>
          <w:color w:val="000000"/>
        </w:rPr>
        <w:t xml:space="preserve">. </w:t>
      </w:r>
    </w:p>
    <w:p w:rsidR="00C40FE6" w:rsidRDefault="00C40FE6" w:rsidP="00C40FE6">
      <w:pPr>
        <w:pBdr>
          <w:top w:val="nil"/>
          <w:left w:val="nil"/>
          <w:bottom w:val="nil"/>
          <w:right w:val="nil"/>
          <w:between w:val="nil"/>
        </w:pBdr>
        <w:tabs>
          <w:tab w:val="left" w:pos="3600"/>
          <w:tab w:val="left" w:pos="7200"/>
        </w:tabs>
        <w:jc w:val="both"/>
        <w:rPr>
          <w:rFonts w:cstheme="minorHAnsi"/>
          <w:color w:val="000000"/>
        </w:rPr>
      </w:pPr>
      <w:r>
        <w:rPr>
          <w:rFonts w:cstheme="minorHAnsi"/>
          <w:color w:val="000000"/>
        </w:rPr>
        <w:t xml:space="preserve">Il s’agira de mobiliser dans cette </w:t>
      </w:r>
      <w:r w:rsidR="00234AE6">
        <w:rPr>
          <w:rFonts w:cstheme="minorHAnsi"/>
          <w:color w:val="000000"/>
        </w:rPr>
        <w:t xml:space="preserve">première </w:t>
      </w:r>
      <w:r>
        <w:rPr>
          <w:rFonts w:cstheme="minorHAnsi"/>
          <w:color w:val="000000"/>
        </w:rPr>
        <w:t>capitalisation les porteurs de projets en France de 5 à 6  organisations françaises ayant monté et négocié un ou plusieurs projets mixte. La sélection des  projets et des porteurs de ces projets se fera en concertation avec le comité de pilotage à partir d’une liste de projets communiqué</w:t>
      </w:r>
      <w:r w:rsidR="001B2B28">
        <w:rPr>
          <w:rFonts w:cstheme="minorHAnsi"/>
          <w:color w:val="000000"/>
        </w:rPr>
        <w:t>e</w:t>
      </w:r>
      <w:r>
        <w:rPr>
          <w:rFonts w:cstheme="minorHAnsi"/>
          <w:color w:val="000000"/>
        </w:rPr>
        <w:t xml:space="preserve"> par le comité. </w:t>
      </w:r>
    </w:p>
    <w:p w:rsidR="00C40FE6" w:rsidRDefault="00C40FE6" w:rsidP="00C40FE6">
      <w:pPr>
        <w:pBdr>
          <w:top w:val="nil"/>
          <w:left w:val="nil"/>
          <w:bottom w:val="nil"/>
          <w:right w:val="nil"/>
          <w:between w:val="nil"/>
        </w:pBdr>
        <w:tabs>
          <w:tab w:val="left" w:pos="3600"/>
          <w:tab w:val="left" w:pos="7200"/>
        </w:tabs>
        <w:jc w:val="both"/>
        <w:rPr>
          <w:rFonts w:cstheme="minorHAnsi"/>
          <w:color w:val="000000"/>
        </w:rPr>
      </w:pPr>
      <w:r>
        <w:rPr>
          <w:rFonts w:cstheme="minorHAnsi"/>
          <w:color w:val="000000"/>
        </w:rPr>
        <w:t>Les points d’attention de la</w:t>
      </w:r>
      <w:r w:rsidR="0005078F">
        <w:rPr>
          <w:rFonts w:cstheme="minorHAnsi"/>
          <w:color w:val="000000"/>
        </w:rPr>
        <w:t xml:space="preserve"> première</w:t>
      </w:r>
      <w:r>
        <w:rPr>
          <w:rFonts w:cstheme="minorHAnsi"/>
          <w:color w:val="000000"/>
        </w:rPr>
        <w:t xml:space="preserve"> capitalisation porteront sur :</w:t>
      </w:r>
    </w:p>
    <w:p w:rsidR="00C40FE6" w:rsidRDefault="00C40FE6" w:rsidP="001B2009">
      <w:pPr>
        <w:pStyle w:val="Paragraphedeliste"/>
        <w:numPr>
          <w:ilvl w:val="0"/>
          <w:numId w:val="14"/>
        </w:numPr>
        <w:pBdr>
          <w:top w:val="nil"/>
          <w:left w:val="nil"/>
          <w:bottom w:val="nil"/>
          <w:right w:val="nil"/>
          <w:between w:val="nil"/>
        </w:pBdr>
        <w:tabs>
          <w:tab w:val="left" w:pos="3600"/>
          <w:tab w:val="left" w:pos="7200"/>
        </w:tabs>
        <w:jc w:val="both"/>
        <w:rPr>
          <w:rFonts w:cstheme="minorHAnsi"/>
          <w:color w:val="000000"/>
        </w:rPr>
      </w:pPr>
      <w:r>
        <w:rPr>
          <w:rFonts w:cstheme="minorHAnsi"/>
          <w:color w:val="000000"/>
        </w:rPr>
        <w:t>Le degré de</w:t>
      </w:r>
      <w:r w:rsidR="001B2B28">
        <w:rPr>
          <w:rFonts w:cstheme="minorHAnsi"/>
          <w:color w:val="000000"/>
        </w:rPr>
        <w:t xml:space="preserve"> connaissance préalable des</w:t>
      </w:r>
      <w:r>
        <w:rPr>
          <w:rFonts w:cstheme="minorHAnsi"/>
          <w:color w:val="000000"/>
        </w:rPr>
        <w:t xml:space="preserve"> porteur</w:t>
      </w:r>
      <w:r w:rsidR="001B2B28">
        <w:rPr>
          <w:rFonts w:cstheme="minorHAnsi"/>
          <w:color w:val="000000"/>
        </w:rPr>
        <w:t>s</w:t>
      </w:r>
      <w:r>
        <w:rPr>
          <w:rFonts w:cstheme="minorHAnsi"/>
          <w:color w:val="000000"/>
        </w:rPr>
        <w:t xml:space="preserve"> de projet</w:t>
      </w:r>
      <w:r w:rsidR="001B2B28">
        <w:rPr>
          <w:rFonts w:cstheme="minorHAnsi"/>
          <w:color w:val="000000"/>
        </w:rPr>
        <w:t>s</w:t>
      </w:r>
      <w:r>
        <w:rPr>
          <w:rFonts w:cstheme="minorHAnsi"/>
          <w:color w:val="000000"/>
        </w:rPr>
        <w:t xml:space="preserve"> des 2 ou 3 secteurs concernés</w:t>
      </w:r>
    </w:p>
    <w:p w:rsidR="00C40FE6" w:rsidRDefault="00C40FE6" w:rsidP="001B2009">
      <w:pPr>
        <w:pStyle w:val="Paragraphedeliste"/>
        <w:numPr>
          <w:ilvl w:val="0"/>
          <w:numId w:val="14"/>
        </w:numPr>
        <w:pBdr>
          <w:top w:val="nil"/>
          <w:left w:val="nil"/>
          <w:bottom w:val="nil"/>
          <w:right w:val="nil"/>
          <w:between w:val="nil"/>
        </w:pBdr>
        <w:tabs>
          <w:tab w:val="left" w:pos="3600"/>
          <w:tab w:val="left" w:pos="7200"/>
        </w:tabs>
        <w:jc w:val="both"/>
        <w:rPr>
          <w:rFonts w:cstheme="minorHAnsi"/>
          <w:color w:val="000000"/>
        </w:rPr>
      </w:pPr>
      <w:r>
        <w:rPr>
          <w:rFonts w:cstheme="minorHAnsi"/>
          <w:color w:val="000000"/>
        </w:rPr>
        <w:lastRenderedPageBreak/>
        <w:t>Les facteurs déclencheurs du partenariat avec la ou les collectivités mobilisées</w:t>
      </w:r>
    </w:p>
    <w:p w:rsidR="00C40FE6" w:rsidRDefault="00C40FE6" w:rsidP="001B2009">
      <w:pPr>
        <w:pStyle w:val="Paragraphedeliste"/>
        <w:numPr>
          <w:ilvl w:val="0"/>
          <w:numId w:val="14"/>
        </w:numPr>
        <w:pBdr>
          <w:top w:val="nil"/>
          <w:left w:val="nil"/>
          <w:bottom w:val="nil"/>
          <w:right w:val="nil"/>
          <w:between w:val="nil"/>
        </w:pBdr>
        <w:tabs>
          <w:tab w:val="left" w:pos="3600"/>
          <w:tab w:val="left" w:pos="7200"/>
        </w:tabs>
        <w:jc w:val="both"/>
        <w:rPr>
          <w:rFonts w:cstheme="minorHAnsi"/>
          <w:color w:val="000000"/>
        </w:rPr>
      </w:pPr>
      <w:r>
        <w:rPr>
          <w:rFonts w:cstheme="minorHAnsi"/>
          <w:color w:val="000000"/>
        </w:rPr>
        <w:t xml:space="preserve">Les facteurs déclencheurs de l’appui financier des collectivités </w:t>
      </w:r>
    </w:p>
    <w:p w:rsidR="00C40FE6" w:rsidRPr="00504834" w:rsidRDefault="00C40FE6" w:rsidP="001B2009">
      <w:pPr>
        <w:pStyle w:val="Paragraphedeliste"/>
        <w:numPr>
          <w:ilvl w:val="0"/>
          <w:numId w:val="14"/>
        </w:numPr>
        <w:pBdr>
          <w:top w:val="nil"/>
          <w:left w:val="nil"/>
          <w:bottom w:val="nil"/>
          <w:right w:val="nil"/>
          <w:between w:val="nil"/>
        </w:pBdr>
        <w:tabs>
          <w:tab w:val="left" w:pos="3600"/>
          <w:tab w:val="left" w:pos="7200"/>
        </w:tabs>
        <w:jc w:val="both"/>
        <w:rPr>
          <w:rFonts w:cstheme="minorHAnsi"/>
          <w:b/>
          <w:color w:val="000000"/>
        </w:rPr>
      </w:pPr>
      <w:r>
        <w:rPr>
          <w:rFonts w:cstheme="minorHAnsi"/>
          <w:color w:val="000000"/>
        </w:rPr>
        <w:t>Les avantages et inconvénients d’aborder une collectivité par la proposition d’un projet mixte (au regard d’un projet mono thématique)</w:t>
      </w:r>
    </w:p>
    <w:p w:rsidR="00C40FE6" w:rsidRPr="00504834" w:rsidRDefault="00C40FE6" w:rsidP="00C40FE6">
      <w:pPr>
        <w:pBdr>
          <w:top w:val="nil"/>
          <w:left w:val="nil"/>
          <w:bottom w:val="nil"/>
          <w:right w:val="nil"/>
          <w:between w:val="nil"/>
        </w:pBdr>
        <w:tabs>
          <w:tab w:val="left" w:pos="3600"/>
          <w:tab w:val="left" w:pos="7200"/>
        </w:tabs>
        <w:jc w:val="both"/>
        <w:rPr>
          <w:rFonts w:cstheme="minorHAnsi"/>
          <w:b/>
          <w:color w:val="000000"/>
        </w:rPr>
      </w:pPr>
      <w:r>
        <w:rPr>
          <w:rFonts w:cstheme="minorHAnsi"/>
          <w:b/>
          <w:color w:val="000000"/>
        </w:rPr>
        <w:t xml:space="preserve">Livrable : </w:t>
      </w:r>
      <w:r w:rsidRPr="001A0DE8">
        <w:rPr>
          <w:rFonts w:cstheme="minorHAnsi"/>
          <w:color w:val="000000"/>
        </w:rPr>
        <w:t>Rapport d’une trentaine de page permettant de réaliser un guide pratique à utiliser pour les porteurs de projets</w:t>
      </w:r>
      <w:r>
        <w:rPr>
          <w:rFonts w:cstheme="minorHAnsi"/>
          <w:b/>
          <w:color w:val="000000"/>
        </w:rPr>
        <w:t xml:space="preserve"> </w:t>
      </w:r>
    </w:p>
    <w:p w:rsidR="00C40FE6" w:rsidRPr="00504834" w:rsidRDefault="00C40FE6" w:rsidP="00C40FE6">
      <w:pPr>
        <w:pBdr>
          <w:top w:val="nil"/>
          <w:left w:val="nil"/>
          <w:bottom w:val="nil"/>
          <w:right w:val="nil"/>
          <w:between w:val="nil"/>
        </w:pBdr>
        <w:tabs>
          <w:tab w:val="left" w:pos="3600"/>
          <w:tab w:val="left" w:pos="7200"/>
        </w:tabs>
        <w:jc w:val="both"/>
        <w:rPr>
          <w:rFonts w:cstheme="minorHAnsi"/>
          <w:color w:val="000000"/>
        </w:rPr>
      </w:pPr>
      <w:r>
        <w:rPr>
          <w:rFonts w:cstheme="minorHAnsi"/>
          <w:b/>
          <w:color w:val="000000"/>
        </w:rPr>
        <w:t xml:space="preserve">Capitalisation 2 : </w:t>
      </w:r>
      <w:r w:rsidRPr="007275E8">
        <w:rPr>
          <w:rFonts w:cstheme="minorHAnsi"/>
          <w:b/>
          <w:color w:val="000000"/>
        </w:rPr>
        <w:t>Partage des expériences de mise en œuvre de projets mixtes</w:t>
      </w:r>
      <w:r w:rsidRPr="00504834">
        <w:rPr>
          <w:rFonts w:cstheme="minorHAnsi"/>
          <w:color w:val="000000"/>
        </w:rPr>
        <w:t xml:space="preserve"> </w:t>
      </w:r>
    </w:p>
    <w:p w:rsidR="00C40FE6" w:rsidRDefault="00C40FE6" w:rsidP="00C40FE6">
      <w:pPr>
        <w:pBdr>
          <w:top w:val="nil"/>
          <w:left w:val="nil"/>
          <w:bottom w:val="nil"/>
          <w:right w:val="nil"/>
          <w:between w:val="nil"/>
        </w:pBdr>
        <w:tabs>
          <w:tab w:val="left" w:pos="3600"/>
          <w:tab w:val="left" w:pos="7200"/>
        </w:tabs>
        <w:jc w:val="both"/>
        <w:rPr>
          <w:rFonts w:cstheme="minorHAnsi"/>
          <w:color w:val="000000"/>
        </w:rPr>
      </w:pPr>
      <w:r w:rsidRPr="00832B6B">
        <w:rPr>
          <w:rFonts w:cstheme="minorHAnsi"/>
          <w:color w:val="000000"/>
        </w:rPr>
        <w:t>Cette deuxième capitalisation</w:t>
      </w:r>
      <w:r w:rsidRPr="001E15D6">
        <w:rPr>
          <w:rFonts w:cstheme="minorHAnsi"/>
          <w:color w:val="000000"/>
        </w:rPr>
        <w:t xml:space="preserve"> est dédiée </w:t>
      </w:r>
      <w:r w:rsidRPr="00601EF3">
        <w:rPr>
          <w:rFonts w:cstheme="minorHAnsi"/>
          <w:b/>
          <w:color w:val="000000"/>
        </w:rPr>
        <w:t>au partage des pratiques sur le terrain</w:t>
      </w:r>
      <w:r w:rsidRPr="001E15D6">
        <w:rPr>
          <w:rFonts w:cstheme="minorHAnsi"/>
          <w:color w:val="000000"/>
        </w:rPr>
        <w:t xml:space="preserve"> dans les 4 pays cibles (Burkina Faso, Sénégal, Togo, Madagascar)  permettant de dégager les facteurs clés de la réussite de </w:t>
      </w:r>
      <w:r w:rsidR="00601EF3">
        <w:rPr>
          <w:rFonts w:cstheme="minorHAnsi"/>
          <w:color w:val="000000"/>
        </w:rPr>
        <w:t>projets</w:t>
      </w:r>
      <w:r w:rsidRPr="001E15D6">
        <w:rPr>
          <w:rFonts w:cstheme="minorHAnsi"/>
          <w:color w:val="000000"/>
        </w:rPr>
        <w:t xml:space="preserve"> mixtes ainsi que les freins à leur mise en  œuvre pour en tirer des recommandations facilitant leur réalisation. </w:t>
      </w:r>
    </w:p>
    <w:p w:rsidR="00C40FE6" w:rsidRDefault="00C40FE6" w:rsidP="00C40FE6">
      <w:pPr>
        <w:pBdr>
          <w:top w:val="nil"/>
          <w:left w:val="nil"/>
          <w:bottom w:val="nil"/>
          <w:right w:val="nil"/>
          <w:between w:val="nil"/>
        </w:pBdr>
        <w:tabs>
          <w:tab w:val="left" w:pos="3600"/>
          <w:tab w:val="left" w:pos="7200"/>
        </w:tabs>
        <w:jc w:val="both"/>
        <w:rPr>
          <w:rFonts w:cstheme="minorHAnsi"/>
          <w:color w:val="000000"/>
        </w:rPr>
      </w:pPr>
      <w:r>
        <w:rPr>
          <w:rFonts w:cstheme="minorHAnsi"/>
          <w:color w:val="000000"/>
        </w:rPr>
        <w:t xml:space="preserve">Il s’agira de mobiliser dans cette </w:t>
      </w:r>
      <w:r w:rsidR="00234AE6">
        <w:rPr>
          <w:rFonts w:cstheme="minorHAnsi"/>
          <w:color w:val="000000"/>
        </w:rPr>
        <w:t xml:space="preserve">deuxième </w:t>
      </w:r>
      <w:r>
        <w:rPr>
          <w:rFonts w:cstheme="minorHAnsi"/>
          <w:color w:val="000000"/>
        </w:rPr>
        <w:t>capitalisation les porteurs de projets qui ont agit sur le terrain de 5 à 6  organisations en France. La sélection des  projets et des porteurs de ces projets se fera en concertation avec le comité de pilotage à partir d’une liste de projets communiqué par le comité. Ces projets ne seront pas nécessairement les mêmes que ceux de la première capitalisation</w:t>
      </w:r>
      <w:r w:rsidR="0005078F">
        <w:rPr>
          <w:rFonts w:cstheme="minorHAnsi"/>
          <w:color w:val="000000"/>
        </w:rPr>
        <w:t>.</w:t>
      </w:r>
    </w:p>
    <w:p w:rsidR="00234AE6" w:rsidRDefault="00234AE6" w:rsidP="00C40FE6">
      <w:pPr>
        <w:pBdr>
          <w:top w:val="nil"/>
          <w:left w:val="nil"/>
          <w:bottom w:val="nil"/>
          <w:right w:val="nil"/>
          <w:between w:val="nil"/>
        </w:pBdr>
        <w:tabs>
          <w:tab w:val="left" w:pos="3600"/>
          <w:tab w:val="left" w:pos="7200"/>
        </w:tabs>
        <w:jc w:val="both"/>
        <w:rPr>
          <w:rFonts w:cstheme="minorHAnsi"/>
          <w:color w:val="000000"/>
        </w:rPr>
      </w:pPr>
      <w:r>
        <w:rPr>
          <w:rFonts w:cstheme="minorHAnsi"/>
          <w:color w:val="000000"/>
        </w:rPr>
        <w:t>Des missions terrain peuvent être proposées par les consultants.</w:t>
      </w:r>
    </w:p>
    <w:p w:rsidR="00C40FE6" w:rsidRDefault="00C40FE6" w:rsidP="00C40FE6">
      <w:pPr>
        <w:pBdr>
          <w:top w:val="nil"/>
          <w:left w:val="nil"/>
          <w:bottom w:val="nil"/>
          <w:right w:val="nil"/>
          <w:between w:val="nil"/>
        </w:pBdr>
        <w:tabs>
          <w:tab w:val="left" w:pos="3600"/>
          <w:tab w:val="left" w:pos="7200"/>
        </w:tabs>
        <w:jc w:val="both"/>
        <w:rPr>
          <w:rFonts w:cstheme="minorHAnsi"/>
          <w:color w:val="000000"/>
        </w:rPr>
      </w:pPr>
      <w:r>
        <w:rPr>
          <w:rFonts w:cstheme="minorHAnsi"/>
          <w:color w:val="000000"/>
        </w:rPr>
        <w:t>Les points d’attention de la capitalisation porteront sur :</w:t>
      </w:r>
    </w:p>
    <w:p w:rsidR="00C40FE6" w:rsidRDefault="00C40FE6" w:rsidP="001B2009">
      <w:pPr>
        <w:pStyle w:val="Paragraphedeliste"/>
        <w:numPr>
          <w:ilvl w:val="0"/>
          <w:numId w:val="14"/>
        </w:numPr>
        <w:pBdr>
          <w:top w:val="nil"/>
          <w:left w:val="nil"/>
          <w:bottom w:val="nil"/>
          <w:right w:val="nil"/>
          <w:between w:val="nil"/>
        </w:pBdr>
        <w:tabs>
          <w:tab w:val="left" w:pos="3600"/>
          <w:tab w:val="left" w:pos="7200"/>
        </w:tabs>
        <w:jc w:val="both"/>
        <w:rPr>
          <w:rFonts w:cstheme="minorHAnsi"/>
          <w:color w:val="000000"/>
        </w:rPr>
      </w:pPr>
      <w:r>
        <w:rPr>
          <w:rFonts w:cstheme="minorHAnsi"/>
          <w:color w:val="000000"/>
        </w:rPr>
        <w:t>La réponse aux besoins exprimés par les partenaires au Sud</w:t>
      </w:r>
    </w:p>
    <w:p w:rsidR="00C40FE6" w:rsidRDefault="00C40FE6" w:rsidP="001B2009">
      <w:pPr>
        <w:pStyle w:val="Paragraphedeliste"/>
        <w:numPr>
          <w:ilvl w:val="0"/>
          <w:numId w:val="14"/>
        </w:numPr>
        <w:pBdr>
          <w:top w:val="nil"/>
          <w:left w:val="nil"/>
          <w:bottom w:val="nil"/>
          <w:right w:val="nil"/>
          <w:between w:val="nil"/>
        </w:pBdr>
        <w:tabs>
          <w:tab w:val="left" w:pos="3600"/>
          <w:tab w:val="left" w:pos="7200"/>
        </w:tabs>
        <w:jc w:val="both"/>
        <w:rPr>
          <w:rFonts w:cstheme="minorHAnsi"/>
          <w:color w:val="000000"/>
        </w:rPr>
      </w:pPr>
      <w:r w:rsidRPr="00902D98">
        <w:rPr>
          <w:rFonts w:cstheme="minorHAnsi"/>
          <w:color w:val="000000"/>
        </w:rPr>
        <w:t xml:space="preserve">Les  avantages et inconvénient de la mise en œuvre de projets mixtes </w:t>
      </w:r>
    </w:p>
    <w:p w:rsidR="00C40FE6" w:rsidRDefault="00C40FE6" w:rsidP="001B2009">
      <w:pPr>
        <w:pStyle w:val="Paragraphedeliste"/>
        <w:numPr>
          <w:ilvl w:val="0"/>
          <w:numId w:val="14"/>
        </w:numPr>
        <w:pBdr>
          <w:top w:val="nil"/>
          <w:left w:val="nil"/>
          <w:bottom w:val="nil"/>
          <w:right w:val="nil"/>
          <w:between w:val="nil"/>
        </w:pBdr>
        <w:tabs>
          <w:tab w:val="left" w:pos="3600"/>
          <w:tab w:val="left" w:pos="7200"/>
        </w:tabs>
        <w:jc w:val="both"/>
        <w:rPr>
          <w:rFonts w:cstheme="minorHAnsi"/>
          <w:color w:val="000000"/>
        </w:rPr>
      </w:pPr>
      <w:r>
        <w:rPr>
          <w:rFonts w:cstheme="minorHAnsi"/>
          <w:color w:val="000000"/>
        </w:rPr>
        <w:t xml:space="preserve">L’implication des </w:t>
      </w:r>
      <w:r w:rsidRPr="00902D98">
        <w:rPr>
          <w:rFonts w:cstheme="minorHAnsi"/>
          <w:color w:val="000000"/>
        </w:rPr>
        <w:t xml:space="preserve">collectivités </w:t>
      </w:r>
      <w:r>
        <w:rPr>
          <w:rFonts w:cstheme="minorHAnsi"/>
          <w:color w:val="000000"/>
        </w:rPr>
        <w:t>territoriales locales</w:t>
      </w:r>
    </w:p>
    <w:p w:rsidR="00C40FE6" w:rsidRPr="00902D98" w:rsidRDefault="00C40FE6" w:rsidP="001B2009">
      <w:pPr>
        <w:pStyle w:val="Paragraphedeliste"/>
        <w:numPr>
          <w:ilvl w:val="0"/>
          <w:numId w:val="14"/>
        </w:numPr>
        <w:pBdr>
          <w:top w:val="nil"/>
          <w:left w:val="nil"/>
          <w:bottom w:val="nil"/>
          <w:right w:val="nil"/>
          <w:between w:val="nil"/>
        </w:pBdr>
        <w:tabs>
          <w:tab w:val="left" w:pos="3600"/>
          <w:tab w:val="left" w:pos="7200"/>
        </w:tabs>
        <w:jc w:val="both"/>
        <w:rPr>
          <w:rFonts w:cstheme="minorHAnsi"/>
          <w:color w:val="000000"/>
        </w:rPr>
      </w:pPr>
      <w:r>
        <w:rPr>
          <w:rFonts w:cstheme="minorHAnsi"/>
          <w:color w:val="000000"/>
        </w:rPr>
        <w:t>L’influence de la conduite de projets sur plusieurs thématiques dans la pérennisation des services</w:t>
      </w:r>
    </w:p>
    <w:p w:rsidR="00C40FE6" w:rsidRPr="00504834" w:rsidRDefault="00C40FE6" w:rsidP="001B2009">
      <w:pPr>
        <w:pStyle w:val="Paragraphedeliste"/>
        <w:numPr>
          <w:ilvl w:val="0"/>
          <w:numId w:val="14"/>
        </w:numPr>
        <w:pBdr>
          <w:top w:val="nil"/>
          <w:left w:val="nil"/>
          <w:bottom w:val="nil"/>
          <w:right w:val="nil"/>
          <w:between w:val="nil"/>
        </w:pBdr>
        <w:tabs>
          <w:tab w:val="left" w:pos="3600"/>
          <w:tab w:val="left" w:pos="7200"/>
        </w:tabs>
        <w:jc w:val="both"/>
        <w:rPr>
          <w:rFonts w:cstheme="minorHAnsi"/>
          <w:b/>
          <w:color w:val="000000"/>
        </w:rPr>
      </w:pPr>
      <w:r>
        <w:rPr>
          <w:rFonts w:cstheme="minorHAnsi"/>
          <w:color w:val="000000"/>
        </w:rPr>
        <w:t xml:space="preserve">Les avantages et inconvénients de développement de services portant sur 2 ou 3 thématiques </w:t>
      </w:r>
    </w:p>
    <w:p w:rsidR="00C40FE6" w:rsidRPr="00504834" w:rsidRDefault="00C40FE6" w:rsidP="00C40FE6">
      <w:pPr>
        <w:pStyle w:val="Paragraphedeliste"/>
        <w:pBdr>
          <w:top w:val="nil"/>
          <w:left w:val="nil"/>
          <w:bottom w:val="nil"/>
          <w:right w:val="nil"/>
          <w:between w:val="nil"/>
        </w:pBdr>
        <w:tabs>
          <w:tab w:val="left" w:pos="3600"/>
          <w:tab w:val="left" w:pos="7200"/>
        </w:tabs>
        <w:jc w:val="both"/>
        <w:rPr>
          <w:rFonts w:cstheme="minorHAnsi"/>
          <w:b/>
          <w:color w:val="000000"/>
        </w:rPr>
      </w:pPr>
    </w:p>
    <w:p w:rsidR="00C40FE6" w:rsidRPr="00504834" w:rsidRDefault="00C40FE6" w:rsidP="00C40FE6">
      <w:pPr>
        <w:pBdr>
          <w:top w:val="nil"/>
          <w:left w:val="nil"/>
          <w:bottom w:val="nil"/>
          <w:right w:val="nil"/>
          <w:between w:val="nil"/>
        </w:pBdr>
        <w:tabs>
          <w:tab w:val="left" w:pos="3600"/>
          <w:tab w:val="left" w:pos="7200"/>
        </w:tabs>
        <w:jc w:val="both"/>
        <w:rPr>
          <w:rFonts w:cstheme="minorHAnsi"/>
          <w:b/>
          <w:color w:val="000000"/>
        </w:rPr>
      </w:pPr>
      <w:r>
        <w:rPr>
          <w:rFonts w:cstheme="minorHAnsi"/>
          <w:b/>
          <w:color w:val="000000"/>
        </w:rPr>
        <w:t xml:space="preserve">Livrable : </w:t>
      </w:r>
      <w:r w:rsidRPr="001A0DE8">
        <w:rPr>
          <w:rFonts w:cstheme="minorHAnsi"/>
          <w:color w:val="000000"/>
        </w:rPr>
        <w:t>Rapport d’une trentaine de page permettant de réaliser un guide pratique à utiliser pour les porteurs de projets</w:t>
      </w:r>
      <w:r>
        <w:rPr>
          <w:rFonts w:cstheme="minorHAnsi"/>
          <w:b/>
          <w:color w:val="000000"/>
        </w:rPr>
        <w:t xml:space="preserve"> </w:t>
      </w:r>
    </w:p>
    <w:p w:rsidR="00C40FE6" w:rsidRDefault="00C40FE6" w:rsidP="00C40FE6">
      <w:pPr>
        <w:pBdr>
          <w:top w:val="nil"/>
          <w:left w:val="nil"/>
          <w:bottom w:val="nil"/>
          <w:right w:val="nil"/>
          <w:between w:val="nil"/>
        </w:pBdr>
        <w:tabs>
          <w:tab w:val="left" w:pos="3600"/>
          <w:tab w:val="left" w:pos="7200"/>
        </w:tabs>
        <w:jc w:val="both"/>
        <w:rPr>
          <w:rFonts w:cstheme="minorHAnsi"/>
          <w:color w:val="000000"/>
        </w:rPr>
      </w:pPr>
      <w:r w:rsidRPr="001E15D6">
        <w:rPr>
          <w:rFonts w:cstheme="minorHAnsi"/>
          <w:color w:val="000000"/>
        </w:rPr>
        <w:t>L’enjeu est de favoriser le développement de projets mixtes durables dans les quatre pays cibles.</w:t>
      </w:r>
    </w:p>
    <w:p w:rsidR="00C40FE6" w:rsidRDefault="00C40FE6" w:rsidP="00C40FE6">
      <w:pPr>
        <w:pBdr>
          <w:top w:val="nil"/>
          <w:left w:val="nil"/>
          <w:bottom w:val="nil"/>
          <w:right w:val="nil"/>
          <w:between w:val="nil"/>
        </w:pBdr>
        <w:tabs>
          <w:tab w:val="left" w:pos="3600"/>
          <w:tab w:val="left" w:pos="7200"/>
        </w:tabs>
        <w:jc w:val="both"/>
        <w:rPr>
          <w:rFonts w:cstheme="minorHAnsi"/>
          <w:b/>
          <w:color w:val="000000"/>
        </w:rPr>
      </w:pPr>
      <w:r>
        <w:rPr>
          <w:rFonts w:cstheme="minorHAnsi"/>
          <w:b/>
          <w:color w:val="000000"/>
        </w:rPr>
        <w:t>Capitalisation 3 : Analyse des pratiques des porteurs de projets pendant le programme</w:t>
      </w:r>
    </w:p>
    <w:p w:rsidR="00C40FE6" w:rsidRDefault="00C40FE6" w:rsidP="00C40FE6">
      <w:pPr>
        <w:pBdr>
          <w:top w:val="nil"/>
          <w:left w:val="nil"/>
          <w:bottom w:val="nil"/>
          <w:right w:val="nil"/>
          <w:between w:val="nil"/>
        </w:pBdr>
        <w:tabs>
          <w:tab w:val="left" w:pos="3600"/>
          <w:tab w:val="left" w:pos="7200"/>
        </w:tabs>
        <w:jc w:val="both"/>
        <w:rPr>
          <w:rFonts w:cstheme="minorHAnsi"/>
          <w:color w:val="000000"/>
        </w:rPr>
      </w:pPr>
      <w:r w:rsidRPr="001B2B28">
        <w:rPr>
          <w:rFonts w:cstheme="minorHAnsi"/>
          <w:color w:val="000000"/>
        </w:rPr>
        <w:t>Cette évaluation</w:t>
      </w:r>
      <w:r w:rsidRPr="001E15D6">
        <w:rPr>
          <w:rFonts w:cstheme="minorHAnsi"/>
          <w:color w:val="000000"/>
        </w:rPr>
        <w:t xml:space="preserve"> est consacrée au </w:t>
      </w:r>
      <w:r w:rsidRPr="00601EF3">
        <w:rPr>
          <w:rFonts w:cstheme="minorHAnsi"/>
          <w:b/>
          <w:color w:val="000000"/>
        </w:rPr>
        <w:t>partage de l’expérience de montage de projet pendant le programme  de rapprochement</w:t>
      </w:r>
      <w:r w:rsidRPr="001E15D6">
        <w:rPr>
          <w:rFonts w:cstheme="minorHAnsi"/>
          <w:color w:val="000000"/>
        </w:rPr>
        <w:t xml:space="preserve"> de l’animation</w:t>
      </w:r>
      <w:r>
        <w:rPr>
          <w:rFonts w:cstheme="minorHAnsi"/>
          <w:color w:val="000000"/>
        </w:rPr>
        <w:t xml:space="preserve"> des trois secteurs (eau, énergie, déchets).</w:t>
      </w:r>
    </w:p>
    <w:p w:rsidR="00C40FE6" w:rsidRDefault="00C40FE6" w:rsidP="00C40FE6">
      <w:pPr>
        <w:pBdr>
          <w:top w:val="nil"/>
          <w:left w:val="nil"/>
          <w:bottom w:val="nil"/>
          <w:right w:val="nil"/>
          <w:between w:val="nil"/>
        </w:pBdr>
        <w:tabs>
          <w:tab w:val="left" w:pos="3600"/>
          <w:tab w:val="left" w:pos="7200"/>
        </w:tabs>
        <w:jc w:val="both"/>
        <w:rPr>
          <w:rFonts w:cstheme="minorHAnsi"/>
          <w:color w:val="000000"/>
        </w:rPr>
      </w:pPr>
      <w:r>
        <w:rPr>
          <w:rFonts w:cstheme="minorHAnsi"/>
          <w:color w:val="000000"/>
        </w:rPr>
        <w:t xml:space="preserve">Il s’agira de faire participer </w:t>
      </w:r>
      <w:r w:rsidRPr="001E15D6">
        <w:rPr>
          <w:rFonts w:cstheme="minorHAnsi"/>
          <w:color w:val="000000"/>
        </w:rPr>
        <w:t xml:space="preserve">les membres du consortium </w:t>
      </w:r>
      <w:r>
        <w:rPr>
          <w:rFonts w:cstheme="minorHAnsi"/>
          <w:color w:val="000000"/>
        </w:rPr>
        <w:t xml:space="preserve">(3 réseaux + 5 RRMA) </w:t>
      </w:r>
      <w:r w:rsidRPr="001E15D6">
        <w:rPr>
          <w:rFonts w:cstheme="minorHAnsi"/>
          <w:color w:val="000000"/>
        </w:rPr>
        <w:t>qui pilotent le programme et un échantillon de bénéficiaires dans les régions ciblées  (5)</w:t>
      </w:r>
      <w:r>
        <w:rPr>
          <w:rFonts w:cstheme="minorHAnsi"/>
          <w:color w:val="000000"/>
        </w:rPr>
        <w:t xml:space="preserve"> à la réflexion sur  les pratiques de montage de projets mixtes qui se sont développés durant la période de 3 ans  .</w:t>
      </w:r>
      <w:r w:rsidRPr="001E15D6">
        <w:rPr>
          <w:rFonts w:cstheme="minorHAnsi"/>
          <w:color w:val="000000"/>
        </w:rPr>
        <w:t xml:space="preserve"> </w:t>
      </w:r>
    </w:p>
    <w:p w:rsidR="00C40FE6" w:rsidRDefault="00C40FE6" w:rsidP="00C40FE6">
      <w:pPr>
        <w:pBdr>
          <w:top w:val="nil"/>
          <w:left w:val="nil"/>
          <w:bottom w:val="nil"/>
          <w:right w:val="nil"/>
          <w:between w:val="nil"/>
        </w:pBdr>
        <w:tabs>
          <w:tab w:val="left" w:pos="3600"/>
          <w:tab w:val="left" w:pos="7200"/>
        </w:tabs>
        <w:jc w:val="both"/>
        <w:rPr>
          <w:rFonts w:cstheme="minorHAnsi"/>
          <w:color w:val="000000"/>
        </w:rPr>
      </w:pPr>
      <w:r>
        <w:rPr>
          <w:rFonts w:cstheme="minorHAnsi"/>
          <w:color w:val="000000"/>
        </w:rPr>
        <w:t>Les points d’attention de la capitalisation porteront sur :</w:t>
      </w:r>
    </w:p>
    <w:p w:rsidR="00C40FE6" w:rsidRPr="00832B6B" w:rsidRDefault="00C40FE6" w:rsidP="001B2009">
      <w:pPr>
        <w:pStyle w:val="Paragraphedeliste"/>
        <w:numPr>
          <w:ilvl w:val="0"/>
          <w:numId w:val="14"/>
        </w:numPr>
        <w:pBdr>
          <w:top w:val="nil"/>
          <w:left w:val="nil"/>
          <w:bottom w:val="nil"/>
          <w:right w:val="nil"/>
          <w:between w:val="nil"/>
        </w:pBdr>
        <w:tabs>
          <w:tab w:val="left" w:pos="3600"/>
          <w:tab w:val="left" w:pos="7200"/>
        </w:tabs>
        <w:jc w:val="both"/>
        <w:rPr>
          <w:rFonts w:cstheme="minorHAnsi"/>
          <w:color w:val="000000"/>
        </w:rPr>
      </w:pPr>
      <w:r w:rsidRPr="00832B6B">
        <w:rPr>
          <w:rFonts w:cstheme="minorHAnsi"/>
          <w:color w:val="000000"/>
        </w:rPr>
        <w:t xml:space="preserve">L’apport du travail en consortium multithématique </w:t>
      </w:r>
      <w:r>
        <w:rPr>
          <w:rFonts w:cstheme="minorHAnsi"/>
          <w:color w:val="000000"/>
        </w:rPr>
        <w:t xml:space="preserve">dans le montage de projets </w:t>
      </w:r>
      <w:r w:rsidRPr="00832B6B">
        <w:rPr>
          <w:rFonts w:cstheme="minorHAnsi"/>
          <w:color w:val="000000"/>
        </w:rPr>
        <w:t>pour les porteurs de projet</w:t>
      </w:r>
      <w:r>
        <w:rPr>
          <w:rFonts w:cstheme="minorHAnsi"/>
          <w:color w:val="000000"/>
        </w:rPr>
        <w:t>.</w:t>
      </w:r>
      <w:r w:rsidRPr="00832B6B">
        <w:rPr>
          <w:rFonts w:cstheme="minorHAnsi"/>
          <w:color w:val="000000"/>
        </w:rPr>
        <w:t xml:space="preserve"> </w:t>
      </w:r>
    </w:p>
    <w:p w:rsidR="00C40FE6" w:rsidRDefault="00C40FE6" w:rsidP="001B2009">
      <w:pPr>
        <w:pStyle w:val="Paragraphedeliste"/>
        <w:numPr>
          <w:ilvl w:val="0"/>
          <w:numId w:val="14"/>
        </w:numPr>
        <w:pBdr>
          <w:top w:val="nil"/>
          <w:left w:val="nil"/>
          <w:bottom w:val="nil"/>
          <w:right w:val="nil"/>
          <w:between w:val="nil"/>
        </w:pBdr>
        <w:tabs>
          <w:tab w:val="left" w:pos="3600"/>
          <w:tab w:val="left" w:pos="7200"/>
        </w:tabs>
        <w:jc w:val="both"/>
        <w:rPr>
          <w:rFonts w:cstheme="minorHAnsi"/>
          <w:color w:val="000000"/>
        </w:rPr>
      </w:pPr>
      <w:r>
        <w:rPr>
          <w:rFonts w:cstheme="minorHAnsi"/>
          <w:color w:val="000000"/>
        </w:rPr>
        <w:t>Les types de projets suscités</w:t>
      </w:r>
    </w:p>
    <w:p w:rsidR="00C40FE6" w:rsidRDefault="00C40FE6" w:rsidP="001B2009">
      <w:pPr>
        <w:pStyle w:val="Paragraphedeliste"/>
        <w:numPr>
          <w:ilvl w:val="0"/>
          <w:numId w:val="14"/>
        </w:numPr>
        <w:pBdr>
          <w:top w:val="nil"/>
          <w:left w:val="nil"/>
          <w:bottom w:val="nil"/>
          <w:right w:val="nil"/>
          <w:between w:val="nil"/>
        </w:pBdr>
        <w:tabs>
          <w:tab w:val="left" w:pos="3600"/>
          <w:tab w:val="left" w:pos="7200"/>
        </w:tabs>
        <w:jc w:val="both"/>
        <w:rPr>
          <w:rFonts w:cstheme="minorHAnsi"/>
          <w:color w:val="000000"/>
        </w:rPr>
      </w:pPr>
      <w:r>
        <w:rPr>
          <w:rFonts w:cstheme="minorHAnsi"/>
          <w:color w:val="000000"/>
        </w:rPr>
        <w:t xml:space="preserve">Les nouvelles approches issues du programme favorisant l’implication des </w:t>
      </w:r>
      <w:r w:rsidRPr="00902D98">
        <w:rPr>
          <w:rFonts w:cstheme="minorHAnsi"/>
          <w:color w:val="000000"/>
        </w:rPr>
        <w:t xml:space="preserve">collectivités </w:t>
      </w:r>
      <w:r>
        <w:rPr>
          <w:rFonts w:cstheme="minorHAnsi"/>
          <w:color w:val="000000"/>
        </w:rPr>
        <w:t>territoriales françaises sur des projets mixtes</w:t>
      </w:r>
    </w:p>
    <w:p w:rsidR="00C40FE6" w:rsidRPr="00902D98" w:rsidRDefault="00C40FE6" w:rsidP="001B2009">
      <w:pPr>
        <w:pStyle w:val="Paragraphedeliste"/>
        <w:numPr>
          <w:ilvl w:val="0"/>
          <w:numId w:val="14"/>
        </w:numPr>
        <w:pBdr>
          <w:top w:val="nil"/>
          <w:left w:val="nil"/>
          <w:bottom w:val="nil"/>
          <w:right w:val="nil"/>
          <w:between w:val="nil"/>
        </w:pBdr>
        <w:tabs>
          <w:tab w:val="left" w:pos="3600"/>
          <w:tab w:val="left" w:pos="7200"/>
        </w:tabs>
        <w:jc w:val="both"/>
        <w:rPr>
          <w:rFonts w:cstheme="minorHAnsi"/>
          <w:color w:val="000000"/>
        </w:rPr>
      </w:pPr>
      <w:r>
        <w:rPr>
          <w:rFonts w:cstheme="minorHAnsi"/>
          <w:color w:val="000000"/>
        </w:rPr>
        <w:lastRenderedPageBreak/>
        <w:t>Les apports mutuels des réseaux régionaux et nationaux dans le montage de nouveaux  projets.</w:t>
      </w:r>
    </w:p>
    <w:p w:rsidR="00C40FE6" w:rsidRDefault="00C40FE6" w:rsidP="00C40FE6">
      <w:pPr>
        <w:pBdr>
          <w:top w:val="nil"/>
          <w:left w:val="nil"/>
          <w:bottom w:val="nil"/>
          <w:right w:val="nil"/>
          <w:between w:val="nil"/>
        </w:pBdr>
        <w:tabs>
          <w:tab w:val="left" w:pos="3600"/>
          <w:tab w:val="left" w:pos="7200"/>
        </w:tabs>
        <w:jc w:val="both"/>
        <w:rPr>
          <w:rFonts w:cstheme="minorHAnsi"/>
          <w:color w:val="000000"/>
        </w:rPr>
      </w:pPr>
      <w:r>
        <w:rPr>
          <w:rFonts w:cstheme="minorHAnsi"/>
          <w:color w:val="000000"/>
        </w:rPr>
        <w:t xml:space="preserve">L’enjeu est </w:t>
      </w:r>
      <w:r w:rsidRPr="001E15D6">
        <w:rPr>
          <w:rFonts w:cstheme="minorHAnsi"/>
          <w:color w:val="000000"/>
        </w:rPr>
        <w:t>de tirer des leçons de cette expérience pour la conduite future d’une animation plus cohérente et plus efficace sur les secteurs eau énergie et déchets.</w:t>
      </w:r>
    </w:p>
    <w:p w:rsidR="00DE624D" w:rsidRPr="00D1471F" w:rsidRDefault="00DE624D" w:rsidP="00D1471F">
      <w:pPr>
        <w:pStyle w:val="Titre3"/>
        <w:spacing w:before="200"/>
        <w:ind w:left="720" w:hanging="360"/>
      </w:pPr>
      <w:r w:rsidRPr="00D1471F">
        <w:t>Public-cible  :</w:t>
      </w:r>
      <w:bookmarkEnd w:id="58"/>
      <w:r w:rsidRPr="00D1471F">
        <w:t xml:space="preserve"> </w:t>
      </w:r>
    </w:p>
    <w:p w:rsidR="00DE624D" w:rsidRPr="001E15D6" w:rsidRDefault="00DE624D" w:rsidP="00DE624D">
      <w:pPr>
        <w:tabs>
          <w:tab w:val="left" w:pos="851"/>
        </w:tabs>
        <w:spacing w:after="0" w:line="240" w:lineRule="auto"/>
        <w:jc w:val="both"/>
        <w:rPr>
          <w:rFonts w:cstheme="minorHAnsi"/>
        </w:rPr>
      </w:pPr>
      <w:r w:rsidRPr="001E15D6">
        <w:rPr>
          <w:rFonts w:cstheme="minorHAnsi"/>
          <w:b/>
          <w:bCs/>
        </w:rPr>
        <w:t xml:space="preserve">Premier cercle </w:t>
      </w:r>
      <w:r w:rsidRPr="001E15D6">
        <w:rPr>
          <w:rFonts w:cstheme="minorHAnsi"/>
        </w:rPr>
        <w:t xml:space="preserve">: Les 4 collectifs du consortium et leurs membres, soit 100 organisations au total. </w:t>
      </w:r>
    </w:p>
    <w:p w:rsidR="00DE624D" w:rsidRPr="001E15D6" w:rsidRDefault="00DE624D" w:rsidP="00DE624D">
      <w:pPr>
        <w:tabs>
          <w:tab w:val="left" w:pos="851"/>
        </w:tabs>
        <w:spacing w:after="0" w:line="240" w:lineRule="auto"/>
        <w:jc w:val="both"/>
        <w:rPr>
          <w:rFonts w:cstheme="minorHAnsi"/>
        </w:rPr>
      </w:pPr>
      <w:r w:rsidRPr="001E15D6">
        <w:rPr>
          <w:rFonts w:cstheme="minorHAnsi"/>
          <w:b/>
          <w:bCs/>
        </w:rPr>
        <w:t>Deuxième cercle</w:t>
      </w:r>
      <w:r w:rsidRPr="001E15D6">
        <w:rPr>
          <w:rFonts w:cstheme="minorHAnsi"/>
        </w:rPr>
        <w:t> : 250 organisations (dont 150 OSC) des territoires accompagnés et 1500 personnes sensibilisées [10 organisations accompagnées et 100 personnes sensibilisées par région (5) par an]</w:t>
      </w:r>
    </w:p>
    <w:p w:rsidR="00DE624D" w:rsidRPr="001E15D6" w:rsidRDefault="00DE624D" w:rsidP="00DE624D">
      <w:pPr>
        <w:tabs>
          <w:tab w:val="left" w:pos="851"/>
        </w:tabs>
        <w:spacing w:after="0" w:line="240" w:lineRule="auto"/>
        <w:jc w:val="both"/>
        <w:rPr>
          <w:rFonts w:cstheme="minorHAnsi"/>
        </w:rPr>
      </w:pPr>
    </w:p>
    <w:p w:rsidR="00BB265E" w:rsidRPr="00D1471F" w:rsidRDefault="00BB265E" w:rsidP="00D1471F">
      <w:pPr>
        <w:pStyle w:val="Titre3"/>
        <w:spacing w:before="200"/>
        <w:ind w:left="720" w:hanging="360"/>
      </w:pPr>
      <w:bookmarkStart w:id="59" w:name="_Toc93658861"/>
      <w:r w:rsidRPr="00D1471F">
        <w:t>Pilotage et animation</w:t>
      </w:r>
      <w:bookmarkEnd w:id="59"/>
      <w:r w:rsidRPr="00D1471F">
        <w:t xml:space="preserve"> </w:t>
      </w:r>
    </w:p>
    <w:p w:rsidR="00BB0B93" w:rsidRDefault="00BB0B93" w:rsidP="00D1471F">
      <w:pPr>
        <w:pStyle w:val="Titre1"/>
      </w:pPr>
      <w:bookmarkStart w:id="60" w:name="_Toc271633184"/>
      <w:bookmarkStart w:id="61" w:name="_Toc273352066"/>
      <w:bookmarkStart w:id="62" w:name="_Toc426723479"/>
    </w:p>
    <w:p w:rsidR="00BB0B93" w:rsidRPr="00BB0B93" w:rsidRDefault="00BB0B93" w:rsidP="001B2009">
      <w:pPr>
        <w:pStyle w:val="Titre1"/>
        <w:keepNext w:val="0"/>
        <w:keepLines w:val="0"/>
        <w:numPr>
          <w:ilvl w:val="0"/>
          <w:numId w:val="8"/>
        </w:numPr>
        <w:shd w:val="clear" w:color="auto" w:fill="004990"/>
        <w:spacing w:before="120" w:line="240" w:lineRule="auto"/>
        <w:contextualSpacing/>
        <w:rPr>
          <w:color w:val="auto"/>
        </w:rPr>
      </w:pPr>
      <w:bookmarkStart w:id="63" w:name="_Toc93658862"/>
      <w:r w:rsidRPr="00BB0B93">
        <w:rPr>
          <w:color w:val="auto"/>
        </w:rPr>
        <w:t>Démarche méthodologique et organisation de la prestation</w:t>
      </w:r>
      <w:bookmarkEnd w:id="63"/>
    </w:p>
    <w:p w:rsidR="00F35AB2" w:rsidRDefault="00F35AB2" w:rsidP="001B2009">
      <w:pPr>
        <w:pStyle w:val="Titre2"/>
        <w:numPr>
          <w:ilvl w:val="1"/>
          <w:numId w:val="15"/>
        </w:numPr>
      </w:pPr>
      <w:bookmarkStart w:id="64" w:name="_Toc93658863"/>
      <w:bookmarkEnd w:id="60"/>
      <w:bookmarkEnd w:id="61"/>
      <w:bookmarkEnd w:id="62"/>
      <w:r>
        <w:t xml:space="preserve"> C</w:t>
      </w:r>
      <w:r w:rsidRPr="00F35AB2">
        <w:t>oordination de la capitalisation</w:t>
      </w:r>
    </w:p>
    <w:p w:rsidR="00F35AB2" w:rsidRPr="001E15D6" w:rsidRDefault="00F35AB2" w:rsidP="00F35AB2">
      <w:pPr>
        <w:rPr>
          <w:rFonts w:cstheme="minorHAnsi"/>
          <w:color w:val="000000"/>
        </w:rPr>
      </w:pPr>
      <w:r w:rsidRPr="001E15D6">
        <w:rPr>
          <w:rFonts w:cstheme="minorHAnsi"/>
          <w:color w:val="000000"/>
        </w:rPr>
        <w:t>Un groupe de travail représentatif du consortium et des 3 secteurs (eau, énergie, déchets) chargé du pilotage des capitalisations est constitué. Il rassemble :</w:t>
      </w:r>
    </w:p>
    <w:p w:rsidR="00F35AB2" w:rsidRPr="001E15D6" w:rsidRDefault="00F35AB2" w:rsidP="001B2009">
      <w:pPr>
        <w:pStyle w:val="Paragraphedeliste"/>
        <w:numPr>
          <w:ilvl w:val="0"/>
          <w:numId w:val="3"/>
        </w:numPr>
        <w:rPr>
          <w:rFonts w:cstheme="minorHAnsi"/>
        </w:rPr>
      </w:pPr>
      <w:r w:rsidRPr="001E15D6">
        <w:rPr>
          <w:rFonts w:cstheme="minorHAnsi"/>
        </w:rPr>
        <w:t>Hervé Gouyet ESF</w:t>
      </w:r>
    </w:p>
    <w:p w:rsidR="00F35AB2" w:rsidRPr="001E15D6" w:rsidRDefault="00F35AB2" w:rsidP="001B2009">
      <w:pPr>
        <w:pStyle w:val="Paragraphedeliste"/>
        <w:numPr>
          <w:ilvl w:val="0"/>
          <w:numId w:val="3"/>
        </w:numPr>
        <w:rPr>
          <w:rFonts w:cstheme="minorHAnsi"/>
        </w:rPr>
      </w:pPr>
      <w:r w:rsidRPr="001E15D6">
        <w:rPr>
          <w:rFonts w:cstheme="minorHAnsi"/>
        </w:rPr>
        <w:t>Jocelyne Delarue Resacoop</w:t>
      </w:r>
    </w:p>
    <w:p w:rsidR="00F35AB2" w:rsidRPr="001E15D6" w:rsidRDefault="00F35AB2" w:rsidP="001B2009">
      <w:pPr>
        <w:pStyle w:val="Paragraphedeliste"/>
        <w:numPr>
          <w:ilvl w:val="0"/>
          <w:numId w:val="3"/>
        </w:numPr>
        <w:rPr>
          <w:rFonts w:cstheme="minorHAnsi"/>
        </w:rPr>
      </w:pPr>
      <w:r w:rsidRPr="001E15D6">
        <w:rPr>
          <w:rFonts w:cstheme="minorHAnsi"/>
        </w:rPr>
        <w:t>Nicolas Livache Experts solidaire</w:t>
      </w:r>
    </w:p>
    <w:p w:rsidR="00F35AB2" w:rsidRPr="001E15D6" w:rsidRDefault="00F35AB2" w:rsidP="001B2009">
      <w:pPr>
        <w:pStyle w:val="Paragraphedeliste"/>
        <w:numPr>
          <w:ilvl w:val="0"/>
          <w:numId w:val="3"/>
        </w:numPr>
        <w:rPr>
          <w:rFonts w:cstheme="minorHAnsi"/>
        </w:rPr>
      </w:pPr>
      <w:r w:rsidRPr="001E15D6">
        <w:rPr>
          <w:rFonts w:cstheme="minorHAnsi"/>
        </w:rPr>
        <w:t xml:space="preserve">Jean Christophe Brard Le partenariat </w:t>
      </w:r>
    </w:p>
    <w:p w:rsidR="00F35AB2" w:rsidRPr="001E15D6" w:rsidRDefault="00F35AB2" w:rsidP="001B2009">
      <w:pPr>
        <w:pStyle w:val="Paragraphedeliste"/>
        <w:numPr>
          <w:ilvl w:val="0"/>
          <w:numId w:val="3"/>
        </w:numPr>
        <w:rPr>
          <w:rFonts w:cstheme="minorHAnsi"/>
        </w:rPr>
      </w:pPr>
      <w:r w:rsidRPr="001E15D6">
        <w:rPr>
          <w:rFonts w:cstheme="minorHAnsi"/>
        </w:rPr>
        <w:t>Rodrigue Olivarria Tapia F3E</w:t>
      </w:r>
    </w:p>
    <w:p w:rsidR="00F35AB2" w:rsidRPr="001E15D6" w:rsidRDefault="00F35AB2" w:rsidP="001B2009">
      <w:pPr>
        <w:pStyle w:val="Paragraphedeliste"/>
        <w:numPr>
          <w:ilvl w:val="0"/>
          <w:numId w:val="3"/>
        </w:numPr>
        <w:rPr>
          <w:rFonts w:cstheme="minorHAnsi"/>
        </w:rPr>
      </w:pPr>
      <w:r w:rsidRPr="001E15D6">
        <w:rPr>
          <w:rFonts w:cstheme="minorHAnsi"/>
        </w:rPr>
        <w:t>Corinne Lajarge Ciedel</w:t>
      </w:r>
    </w:p>
    <w:p w:rsidR="00F35AB2" w:rsidRPr="001E15D6" w:rsidRDefault="00F35AB2" w:rsidP="001B2009">
      <w:pPr>
        <w:pStyle w:val="Paragraphedeliste"/>
        <w:numPr>
          <w:ilvl w:val="0"/>
          <w:numId w:val="3"/>
        </w:numPr>
        <w:rPr>
          <w:rFonts w:cstheme="minorHAnsi"/>
        </w:rPr>
      </w:pPr>
      <w:r w:rsidRPr="001E15D6">
        <w:rPr>
          <w:rFonts w:cstheme="minorHAnsi"/>
        </w:rPr>
        <w:t>Eva Ah-Kow  Syctom</w:t>
      </w:r>
    </w:p>
    <w:p w:rsidR="00F35AB2" w:rsidRDefault="00F35AB2" w:rsidP="001B2009">
      <w:pPr>
        <w:pStyle w:val="Paragraphedeliste"/>
        <w:numPr>
          <w:ilvl w:val="0"/>
          <w:numId w:val="3"/>
        </w:numPr>
        <w:rPr>
          <w:rFonts w:cstheme="minorHAnsi"/>
        </w:rPr>
      </w:pPr>
      <w:r w:rsidRPr="001E15D6">
        <w:rPr>
          <w:rFonts w:cstheme="minorHAnsi"/>
        </w:rPr>
        <w:t xml:space="preserve">Pierre Marie Grondin pS-Eau </w:t>
      </w:r>
    </w:p>
    <w:p w:rsidR="00F35AB2" w:rsidRDefault="00F35AB2" w:rsidP="001B2009">
      <w:pPr>
        <w:pStyle w:val="Paragraphedeliste"/>
        <w:numPr>
          <w:ilvl w:val="0"/>
          <w:numId w:val="3"/>
        </w:numPr>
        <w:rPr>
          <w:rFonts w:cstheme="minorHAnsi"/>
        </w:rPr>
      </w:pPr>
      <w:r>
        <w:rPr>
          <w:rFonts w:cstheme="minorHAnsi"/>
        </w:rPr>
        <w:t>Hervé Tritschberger Gescod</w:t>
      </w:r>
    </w:p>
    <w:p w:rsidR="00F35AB2" w:rsidRPr="00F35AB2" w:rsidRDefault="00F35AB2" w:rsidP="00F35AB2">
      <w:pPr>
        <w:rPr>
          <w:rFonts w:cstheme="minorHAnsi"/>
          <w:color w:val="000000"/>
        </w:rPr>
      </w:pPr>
      <w:r w:rsidRPr="00F35AB2">
        <w:rPr>
          <w:rFonts w:cstheme="minorHAnsi"/>
          <w:color w:val="000000"/>
        </w:rPr>
        <w:t xml:space="preserve">Ce </w:t>
      </w:r>
      <w:r w:rsidR="00712A88">
        <w:rPr>
          <w:rFonts w:cstheme="minorHAnsi"/>
          <w:color w:val="000000"/>
        </w:rPr>
        <w:t xml:space="preserve">comité de pilotage </w:t>
      </w:r>
      <w:r w:rsidRPr="00F35AB2">
        <w:rPr>
          <w:rFonts w:cstheme="minorHAnsi"/>
          <w:color w:val="000000"/>
        </w:rPr>
        <w:t xml:space="preserve">de la capitalisation </w:t>
      </w:r>
      <w:r>
        <w:rPr>
          <w:rFonts w:cstheme="minorHAnsi"/>
          <w:color w:val="000000"/>
        </w:rPr>
        <w:t xml:space="preserve">est </w:t>
      </w:r>
      <w:r w:rsidRPr="00F35AB2">
        <w:rPr>
          <w:rFonts w:cstheme="minorHAnsi"/>
          <w:color w:val="000000"/>
        </w:rPr>
        <w:t>en charge de l’ensemble des grandes étapes valid</w:t>
      </w:r>
      <w:r>
        <w:rPr>
          <w:rFonts w:cstheme="minorHAnsi"/>
          <w:color w:val="000000"/>
        </w:rPr>
        <w:t xml:space="preserve">ation de la capitalisation : </w:t>
      </w:r>
      <w:r w:rsidRPr="00F35AB2">
        <w:rPr>
          <w:rFonts w:cstheme="minorHAnsi"/>
          <w:color w:val="000000"/>
        </w:rPr>
        <w:t xml:space="preserve">TDR </w:t>
      </w:r>
      <w:r>
        <w:rPr>
          <w:rFonts w:cstheme="minorHAnsi"/>
          <w:color w:val="000000"/>
        </w:rPr>
        <w:t xml:space="preserve">; </w:t>
      </w:r>
      <w:r w:rsidRPr="00F35AB2">
        <w:rPr>
          <w:rFonts w:cstheme="minorHAnsi"/>
          <w:color w:val="000000"/>
        </w:rPr>
        <w:t xml:space="preserve"> choix de</w:t>
      </w:r>
      <w:r>
        <w:rPr>
          <w:rFonts w:cstheme="minorHAnsi"/>
          <w:color w:val="000000"/>
        </w:rPr>
        <w:t xml:space="preserve"> l’équipe de consultants, </w:t>
      </w:r>
      <w:r w:rsidRPr="00F35AB2">
        <w:rPr>
          <w:rFonts w:cstheme="minorHAnsi"/>
          <w:color w:val="000000"/>
        </w:rPr>
        <w:t>f</w:t>
      </w:r>
      <w:r>
        <w:rPr>
          <w:rFonts w:cstheme="minorHAnsi"/>
          <w:color w:val="000000"/>
        </w:rPr>
        <w:t xml:space="preserve">inalisation du chronogramme, </w:t>
      </w:r>
      <w:r w:rsidRPr="00F35AB2">
        <w:rPr>
          <w:rFonts w:cstheme="minorHAnsi"/>
          <w:color w:val="000000"/>
        </w:rPr>
        <w:t xml:space="preserve"> livrables</w:t>
      </w:r>
      <w:r>
        <w:rPr>
          <w:rFonts w:cstheme="minorHAnsi"/>
          <w:color w:val="000000"/>
        </w:rPr>
        <w:t>.</w:t>
      </w:r>
    </w:p>
    <w:p w:rsidR="00F35AB2" w:rsidRPr="00F35AB2" w:rsidRDefault="00F35AB2" w:rsidP="00F35AB2">
      <w:pPr>
        <w:rPr>
          <w:rFonts w:cstheme="minorHAnsi"/>
          <w:color w:val="000000"/>
        </w:rPr>
      </w:pPr>
      <w:r w:rsidRPr="00F35AB2">
        <w:rPr>
          <w:rFonts w:cstheme="minorHAnsi"/>
          <w:color w:val="000000"/>
        </w:rPr>
        <w:t xml:space="preserve">L’animation de la capitalisation sera en charge de l’équipe consultante qui travaillera en lien </w:t>
      </w:r>
      <w:r w:rsidR="00712A88">
        <w:rPr>
          <w:rFonts w:cstheme="minorHAnsi"/>
          <w:color w:val="000000"/>
        </w:rPr>
        <w:t xml:space="preserve">étroit </w:t>
      </w:r>
      <w:r w:rsidRPr="00F35AB2">
        <w:rPr>
          <w:rFonts w:cstheme="minorHAnsi"/>
          <w:color w:val="000000"/>
        </w:rPr>
        <w:t xml:space="preserve">avec le </w:t>
      </w:r>
      <w:r w:rsidR="00712A88">
        <w:rPr>
          <w:rFonts w:cstheme="minorHAnsi"/>
          <w:color w:val="000000"/>
        </w:rPr>
        <w:t>comité de pilotage</w:t>
      </w:r>
      <w:r w:rsidRPr="00F35AB2">
        <w:rPr>
          <w:rFonts w:cstheme="minorHAnsi"/>
          <w:color w:val="000000"/>
        </w:rPr>
        <w:t xml:space="preserve"> de la capitalisation  </w:t>
      </w:r>
      <w:r w:rsidR="00712A88">
        <w:rPr>
          <w:rFonts w:cstheme="minorHAnsi"/>
          <w:color w:val="000000"/>
        </w:rPr>
        <w:t>et plus particulièrement les coordinateurs Pierre Marie Grondin et Hervé Tritchberger.</w:t>
      </w:r>
    </w:p>
    <w:p w:rsidR="00AE2BA4" w:rsidRPr="00376BB6" w:rsidRDefault="00F35AB2" w:rsidP="001B2009">
      <w:pPr>
        <w:pStyle w:val="Titre2"/>
        <w:numPr>
          <w:ilvl w:val="1"/>
          <w:numId w:val="15"/>
        </w:numPr>
      </w:pPr>
      <w:r>
        <w:t xml:space="preserve"> </w:t>
      </w:r>
      <w:r w:rsidR="00AE2BA4" w:rsidRPr="00376BB6">
        <w:t>Méthodologie</w:t>
      </w:r>
      <w:bookmarkEnd w:id="64"/>
    </w:p>
    <w:p w:rsidR="00F35AB2" w:rsidRDefault="00F35AB2" w:rsidP="00F35AB2">
      <w:pPr>
        <w:pStyle w:val="Default"/>
      </w:pPr>
      <w:bookmarkStart w:id="65" w:name="_Toc93658864"/>
    </w:p>
    <w:bookmarkEnd w:id="65"/>
    <w:p w:rsidR="00CE39C8" w:rsidRPr="00543510" w:rsidRDefault="00234AE6" w:rsidP="00CE39C8">
      <w:pPr>
        <w:rPr>
          <w:rFonts w:cstheme="minorHAnsi"/>
        </w:rPr>
      </w:pPr>
      <w:r>
        <w:rPr>
          <w:rFonts w:cstheme="minorHAnsi"/>
        </w:rPr>
        <w:t>R</w:t>
      </w:r>
      <w:r w:rsidR="00CE39C8" w:rsidRPr="00543510">
        <w:rPr>
          <w:rFonts w:cstheme="minorHAnsi"/>
        </w:rPr>
        <w:t>éunion de cadrage  a</w:t>
      </w:r>
      <w:r>
        <w:rPr>
          <w:rFonts w:cstheme="minorHAnsi"/>
        </w:rPr>
        <w:t>u démarrage de</w:t>
      </w:r>
      <w:r w:rsidR="00542D89">
        <w:rPr>
          <w:rFonts w:cstheme="minorHAnsi"/>
        </w:rPr>
        <w:t xml:space="preserve"> chaque capitalisation</w:t>
      </w:r>
      <w:r>
        <w:rPr>
          <w:rFonts w:cstheme="minorHAnsi"/>
        </w:rPr>
        <w:t>.</w:t>
      </w:r>
      <w:r w:rsidR="00CE39C8" w:rsidRPr="00543510">
        <w:rPr>
          <w:rFonts w:cstheme="minorHAnsi"/>
        </w:rPr>
        <w:t xml:space="preserve"> </w:t>
      </w:r>
    </w:p>
    <w:p w:rsidR="00543510" w:rsidRPr="00543510" w:rsidRDefault="00CE39C8" w:rsidP="00AE2BA4">
      <w:pPr>
        <w:rPr>
          <w:rFonts w:cstheme="minorHAnsi"/>
        </w:rPr>
      </w:pPr>
      <w:r w:rsidRPr="00543510">
        <w:rPr>
          <w:rFonts w:cstheme="minorHAnsi"/>
        </w:rPr>
        <w:t xml:space="preserve">Recensement et sélection  d’une liste de </w:t>
      </w:r>
      <w:r w:rsidR="00543510" w:rsidRPr="00543510">
        <w:rPr>
          <w:rFonts w:cstheme="minorHAnsi"/>
        </w:rPr>
        <w:t>projets</w:t>
      </w:r>
      <w:r w:rsidRPr="00543510">
        <w:rPr>
          <w:rFonts w:cstheme="minorHAnsi"/>
        </w:rPr>
        <w:t xml:space="preserve"> à </w:t>
      </w:r>
      <w:r w:rsidR="00543510" w:rsidRPr="00543510">
        <w:rPr>
          <w:rFonts w:cstheme="minorHAnsi"/>
        </w:rPr>
        <w:t>capitaliser (liste fournie par le comité de pilotage y compris personnes contact</w:t>
      </w:r>
      <w:r w:rsidR="00542D89">
        <w:rPr>
          <w:rFonts w:cstheme="minorHAnsi"/>
        </w:rPr>
        <w:t>, contributrices</w:t>
      </w:r>
      <w:r w:rsidR="00543510" w:rsidRPr="00543510">
        <w:rPr>
          <w:rFonts w:cstheme="minorHAnsi"/>
        </w:rPr>
        <w:t>)</w:t>
      </w:r>
      <w:r w:rsidR="00543510">
        <w:rPr>
          <w:rFonts w:cstheme="minorHAnsi"/>
        </w:rPr>
        <w:t xml:space="preserve">. A priori 5 à 6 projets sélectionnés dans </w:t>
      </w:r>
      <w:r w:rsidR="00542D89">
        <w:rPr>
          <w:rFonts w:cstheme="minorHAnsi"/>
        </w:rPr>
        <w:t>cette</w:t>
      </w:r>
      <w:r w:rsidR="00543510">
        <w:rPr>
          <w:rFonts w:cstheme="minorHAnsi"/>
        </w:rPr>
        <w:t xml:space="preserve"> liste </w:t>
      </w:r>
      <w:r w:rsidR="004E4840">
        <w:rPr>
          <w:rFonts w:cstheme="minorHAnsi"/>
        </w:rPr>
        <w:t xml:space="preserve">dans la phase </w:t>
      </w:r>
      <w:r w:rsidR="00543510">
        <w:rPr>
          <w:rFonts w:cstheme="minorHAnsi"/>
        </w:rPr>
        <w:t>de cadrage</w:t>
      </w:r>
      <w:r w:rsidR="00542D89">
        <w:rPr>
          <w:rFonts w:cstheme="minorHAnsi"/>
        </w:rPr>
        <w:t xml:space="preserve">. </w:t>
      </w:r>
      <w:r w:rsidR="00543510">
        <w:rPr>
          <w:rFonts w:cstheme="minorHAnsi"/>
        </w:rPr>
        <w:t xml:space="preserve"> </w:t>
      </w:r>
    </w:p>
    <w:p w:rsidR="00543510" w:rsidRDefault="00543510" w:rsidP="00AE2BA4">
      <w:pPr>
        <w:rPr>
          <w:rFonts w:cstheme="minorHAnsi"/>
        </w:rPr>
      </w:pPr>
      <w:r w:rsidRPr="00543510">
        <w:rPr>
          <w:rFonts w:cstheme="minorHAnsi"/>
        </w:rPr>
        <w:t>Réunions des porteurs de projets sélectionnés</w:t>
      </w:r>
      <w:r w:rsidR="004E4840">
        <w:rPr>
          <w:rFonts w:cstheme="minorHAnsi"/>
        </w:rPr>
        <w:t xml:space="preserve"> (information mobilisation</w:t>
      </w:r>
      <w:r w:rsidR="00AC43D1">
        <w:rPr>
          <w:rFonts w:cstheme="minorHAnsi"/>
        </w:rPr>
        <w:t>).</w:t>
      </w:r>
    </w:p>
    <w:p w:rsidR="004E4840" w:rsidRDefault="004E4840" w:rsidP="00AE2BA4">
      <w:pPr>
        <w:rPr>
          <w:rFonts w:cstheme="minorHAnsi"/>
        </w:rPr>
      </w:pPr>
      <w:r>
        <w:rPr>
          <w:rFonts w:cstheme="minorHAnsi"/>
        </w:rPr>
        <w:t>A partir de la note méthodo</w:t>
      </w:r>
      <w:r w:rsidR="006210CF">
        <w:rPr>
          <w:rFonts w:cstheme="minorHAnsi"/>
        </w:rPr>
        <w:t>logique</w:t>
      </w:r>
      <w:r>
        <w:rPr>
          <w:rFonts w:cstheme="minorHAnsi"/>
        </w:rPr>
        <w:t xml:space="preserve"> du consultant sélectionné</w:t>
      </w:r>
      <w:r w:rsidR="00234AE6">
        <w:rPr>
          <w:rFonts w:cstheme="minorHAnsi"/>
        </w:rPr>
        <w:t>,</w:t>
      </w:r>
      <w:r>
        <w:rPr>
          <w:rFonts w:cstheme="minorHAnsi"/>
        </w:rPr>
        <w:t xml:space="preserve"> détermination des modal</w:t>
      </w:r>
      <w:r w:rsidR="0088252A">
        <w:rPr>
          <w:rFonts w:cstheme="minorHAnsi"/>
        </w:rPr>
        <w:t>ités de partage des expériences</w:t>
      </w:r>
      <w:r>
        <w:rPr>
          <w:rFonts w:cstheme="minorHAnsi"/>
        </w:rPr>
        <w:t xml:space="preserve">  (Entretien collectif ou individuel, enquêtes,  etc.)</w:t>
      </w:r>
      <w:r w:rsidR="0088252A">
        <w:rPr>
          <w:rFonts w:cstheme="minorHAnsi"/>
        </w:rPr>
        <w:t>.</w:t>
      </w:r>
    </w:p>
    <w:p w:rsidR="00543510" w:rsidRDefault="00543510" w:rsidP="00AE2BA4">
      <w:pPr>
        <w:rPr>
          <w:rFonts w:cstheme="minorHAnsi"/>
        </w:rPr>
      </w:pPr>
      <w:r w:rsidRPr="00543510">
        <w:rPr>
          <w:rFonts w:cstheme="minorHAnsi"/>
        </w:rPr>
        <w:lastRenderedPageBreak/>
        <w:t>Identification des points clés des expériences à capitaliser difficultés rencontrées (</w:t>
      </w:r>
      <w:r w:rsidR="004E4840">
        <w:rPr>
          <w:rFonts w:cstheme="minorHAnsi"/>
        </w:rPr>
        <w:t xml:space="preserve">contexte du </w:t>
      </w:r>
      <w:r w:rsidRPr="00543510">
        <w:rPr>
          <w:rFonts w:cstheme="minorHAnsi"/>
        </w:rPr>
        <w:t>montage</w:t>
      </w:r>
      <w:r w:rsidR="004E4840">
        <w:rPr>
          <w:rFonts w:cstheme="minorHAnsi"/>
        </w:rPr>
        <w:t xml:space="preserve"> de projets</w:t>
      </w:r>
      <w:r w:rsidRPr="00543510">
        <w:rPr>
          <w:rFonts w:cstheme="minorHAnsi"/>
        </w:rPr>
        <w:t xml:space="preserve">,  </w:t>
      </w:r>
      <w:r w:rsidR="004E4840">
        <w:rPr>
          <w:rFonts w:cstheme="minorHAnsi"/>
        </w:rPr>
        <w:t xml:space="preserve">contexte local de mise en en œuvre des projets, </w:t>
      </w:r>
      <w:r w:rsidRPr="00543510">
        <w:rPr>
          <w:rFonts w:cstheme="minorHAnsi"/>
        </w:rPr>
        <w:t xml:space="preserve"> diversité des interlocuteurs  et ou des structures publics, processus de mobilisation de financ</w:t>
      </w:r>
      <w:r>
        <w:rPr>
          <w:rFonts w:cstheme="minorHAnsi"/>
        </w:rPr>
        <w:t>e</w:t>
      </w:r>
      <w:r w:rsidRPr="00543510">
        <w:rPr>
          <w:rFonts w:cstheme="minorHAnsi"/>
        </w:rPr>
        <w:t>ments</w:t>
      </w:r>
      <w:r w:rsidR="004E4840">
        <w:rPr>
          <w:rFonts w:cstheme="minorHAnsi"/>
        </w:rPr>
        <w:t>, etc.</w:t>
      </w:r>
      <w:r>
        <w:rPr>
          <w:rFonts w:cstheme="minorHAnsi"/>
        </w:rPr>
        <w:t>)</w:t>
      </w:r>
      <w:r w:rsidR="004E4840">
        <w:rPr>
          <w:rFonts w:cstheme="minorHAnsi"/>
        </w:rPr>
        <w:t>.</w:t>
      </w:r>
    </w:p>
    <w:p w:rsidR="00542D89" w:rsidRDefault="00542D89" w:rsidP="00AE2BA4">
      <w:pPr>
        <w:rPr>
          <w:rFonts w:cstheme="minorHAnsi"/>
        </w:rPr>
      </w:pPr>
      <w:r>
        <w:rPr>
          <w:rFonts w:cstheme="minorHAnsi"/>
        </w:rPr>
        <w:t>Eventuellement missions terrain pour la deuxième capitalisation.</w:t>
      </w:r>
    </w:p>
    <w:p w:rsidR="004E4840" w:rsidRPr="00543510" w:rsidRDefault="004E4840" w:rsidP="00AE2BA4">
      <w:pPr>
        <w:rPr>
          <w:rFonts w:cstheme="minorHAnsi"/>
        </w:rPr>
      </w:pPr>
      <w:r>
        <w:rPr>
          <w:rFonts w:cstheme="minorHAnsi"/>
        </w:rPr>
        <w:t>Une att</w:t>
      </w:r>
      <w:r w:rsidR="004108AB">
        <w:rPr>
          <w:rFonts w:cstheme="minorHAnsi"/>
        </w:rPr>
        <w:t>ention particulière devra être portée</w:t>
      </w:r>
      <w:r>
        <w:rPr>
          <w:rFonts w:cstheme="minorHAnsi"/>
        </w:rPr>
        <w:t xml:space="preserve"> par le consultant sur la participation inclusive dans les projets analysés et notamment la parité femme/homme.  </w:t>
      </w:r>
    </w:p>
    <w:p w:rsidR="00CE39C8" w:rsidRPr="00D8422D" w:rsidRDefault="00D8422D" w:rsidP="00AE2BA4">
      <w:pPr>
        <w:rPr>
          <w:rFonts w:cstheme="minorHAnsi"/>
        </w:rPr>
      </w:pPr>
      <w:r w:rsidRPr="001D0AD9">
        <w:rPr>
          <w:rFonts w:cstheme="minorHAnsi"/>
          <w:b/>
        </w:rPr>
        <w:t>Etapes de validation principale</w:t>
      </w:r>
      <w:r w:rsidR="00F86E02" w:rsidRPr="001D0AD9">
        <w:rPr>
          <w:rFonts w:cstheme="minorHAnsi"/>
          <w:b/>
        </w:rPr>
        <w:t>s</w:t>
      </w:r>
      <w:r>
        <w:rPr>
          <w:rFonts w:cstheme="minorHAnsi"/>
        </w:rPr>
        <w:t xml:space="preserve"> avec </w:t>
      </w:r>
      <w:r w:rsidR="004108AB" w:rsidRPr="00D8422D">
        <w:rPr>
          <w:rFonts w:cstheme="minorHAnsi"/>
        </w:rPr>
        <w:t>le comité</w:t>
      </w:r>
      <w:r>
        <w:rPr>
          <w:rFonts w:cstheme="minorHAnsi"/>
        </w:rPr>
        <w:t xml:space="preserve"> de pilotage</w:t>
      </w:r>
    </w:p>
    <w:p w:rsidR="004108AB" w:rsidRPr="00D8422D" w:rsidRDefault="00D8422D" w:rsidP="001B2009">
      <w:pPr>
        <w:pStyle w:val="Paragraphedeliste"/>
        <w:numPr>
          <w:ilvl w:val="0"/>
          <w:numId w:val="3"/>
        </w:numPr>
        <w:rPr>
          <w:rFonts w:cstheme="minorHAnsi"/>
        </w:rPr>
      </w:pPr>
      <w:r>
        <w:rPr>
          <w:rFonts w:cstheme="minorHAnsi"/>
        </w:rPr>
        <w:t>Liste de p</w:t>
      </w:r>
      <w:r w:rsidR="004108AB" w:rsidRPr="00D8422D">
        <w:rPr>
          <w:rFonts w:cstheme="minorHAnsi"/>
        </w:rPr>
        <w:t>rojets sélectionnés y compris liste des interlocuteurs mobilisés</w:t>
      </w:r>
    </w:p>
    <w:p w:rsidR="004108AB" w:rsidRPr="00D8422D" w:rsidRDefault="004108AB" w:rsidP="001B2009">
      <w:pPr>
        <w:pStyle w:val="Paragraphedeliste"/>
        <w:numPr>
          <w:ilvl w:val="0"/>
          <w:numId w:val="3"/>
        </w:numPr>
        <w:rPr>
          <w:rFonts w:cstheme="minorHAnsi"/>
        </w:rPr>
      </w:pPr>
      <w:r w:rsidRPr="00D8422D">
        <w:rPr>
          <w:rFonts w:cstheme="minorHAnsi"/>
        </w:rPr>
        <w:t>Processus de réalisation de la méthodologie proposée (mode d’organisation des entretiens et partage, calendrier, etc.)</w:t>
      </w:r>
    </w:p>
    <w:p w:rsidR="004108AB" w:rsidRPr="00D8422D" w:rsidRDefault="001D0AD9" w:rsidP="001B2009">
      <w:pPr>
        <w:pStyle w:val="Paragraphedeliste"/>
        <w:numPr>
          <w:ilvl w:val="0"/>
          <w:numId w:val="3"/>
        </w:numPr>
        <w:rPr>
          <w:rFonts w:cstheme="minorHAnsi"/>
        </w:rPr>
      </w:pPr>
      <w:r>
        <w:rPr>
          <w:rFonts w:cstheme="minorHAnsi"/>
        </w:rPr>
        <w:t xml:space="preserve">Echange </w:t>
      </w:r>
      <w:r w:rsidR="004108AB" w:rsidRPr="00D8422D">
        <w:rPr>
          <w:rFonts w:cstheme="minorHAnsi"/>
        </w:rPr>
        <w:t xml:space="preserve"> à mi parcours</w:t>
      </w:r>
      <w:r>
        <w:rPr>
          <w:rFonts w:cstheme="minorHAnsi"/>
        </w:rPr>
        <w:t xml:space="preserve"> de chaque capitalisation</w:t>
      </w:r>
    </w:p>
    <w:p w:rsidR="00AE2BA4" w:rsidRPr="00376BB6" w:rsidRDefault="00BB0B93" w:rsidP="001B2009">
      <w:pPr>
        <w:pStyle w:val="Titre2"/>
        <w:numPr>
          <w:ilvl w:val="1"/>
          <w:numId w:val="15"/>
        </w:numPr>
      </w:pPr>
      <w:bookmarkStart w:id="66" w:name="_Toc93658866"/>
      <w:r>
        <w:t>R</w:t>
      </w:r>
      <w:r w:rsidR="00AE2BA4" w:rsidRPr="00376BB6">
        <w:t xml:space="preserve">estitutions et </w:t>
      </w:r>
      <w:r w:rsidR="00F35AB2">
        <w:t>livrables</w:t>
      </w:r>
      <w:r w:rsidR="00AE2BA4" w:rsidRPr="00376BB6">
        <w:t xml:space="preserve"> attendus</w:t>
      </w:r>
      <w:bookmarkEnd w:id="66"/>
    </w:p>
    <w:p w:rsidR="001B2B28" w:rsidRDefault="001B2B28" w:rsidP="001B2B28">
      <w:pPr>
        <w:jc w:val="both"/>
        <w:rPr>
          <w:rFonts w:cstheme="minorHAnsi"/>
        </w:rPr>
      </w:pPr>
      <w:bookmarkStart w:id="67" w:name="_Toc93658867"/>
    </w:p>
    <w:p w:rsidR="001B2B28" w:rsidRPr="001B2B28" w:rsidRDefault="001B2B28" w:rsidP="001B2B28">
      <w:pPr>
        <w:jc w:val="both"/>
        <w:rPr>
          <w:rFonts w:cstheme="minorHAnsi"/>
        </w:rPr>
      </w:pPr>
      <w:r w:rsidRPr="001B2B28">
        <w:rPr>
          <w:rFonts w:cstheme="minorHAnsi"/>
        </w:rPr>
        <w:t>Les rapports de capitalisations en version informatique sont attendus 15 jours avant chacune des réunions de restitution prévues</w:t>
      </w:r>
      <w:r w:rsidR="006A794C">
        <w:rPr>
          <w:rFonts w:cstheme="minorHAnsi"/>
        </w:rPr>
        <w:t xml:space="preserve"> dans les étapes décrites</w:t>
      </w:r>
      <w:r w:rsidRPr="001B2B28">
        <w:rPr>
          <w:rFonts w:cstheme="minorHAnsi"/>
        </w:rPr>
        <w:t xml:space="preserve"> ci dessous :</w:t>
      </w:r>
    </w:p>
    <w:p w:rsidR="006A794C" w:rsidRPr="006A794C" w:rsidRDefault="006A794C" w:rsidP="006A794C">
      <w:pPr>
        <w:autoSpaceDE w:val="0"/>
        <w:autoSpaceDN w:val="0"/>
        <w:adjustRightInd w:val="0"/>
        <w:spacing w:after="0" w:line="240" w:lineRule="auto"/>
        <w:rPr>
          <w:rFonts w:ascii="Calibri" w:hAnsi="Calibri" w:cs="Calibri"/>
          <w:color w:val="000000"/>
        </w:rPr>
      </w:pPr>
      <w:r>
        <w:rPr>
          <w:rFonts w:ascii="Calibri" w:hAnsi="Calibri" w:cs="Calibri"/>
          <w:b/>
          <w:bCs/>
          <w:color w:val="000000"/>
        </w:rPr>
        <w:t>C</w:t>
      </w:r>
      <w:r w:rsidRPr="006A794C">
        <w:rPr>
          <w:rFonts w:ascii="Calibri" w:hAnsi="Calibri" w:cs="Calibri"/>
          <w:b/>
          <w:bCs/>
          <w:color w:val="000000"/>
        </w:rPr>
        <w:t xml:space="preserve">ontractualisation </w:t>
      </w:r>
      <w:r w:rsidRPr="006A794C">
        <w:rPr>
          <w:rFonts w:ascii="Calibri" w:hAnsi="Calibri" w:cs="Calibri"/>
          <w:i/>
          <w:iCs/>
          <w:color w:val="000000"/>
        </w:rPr>
        <w:t xml:space="preserve"> De </w:t>
      </w:r>
      <w:r w:rsidR="00E804FF">
        <w:rPr>
          <w:rFonts w:ascii="Calibri" w:hAnsi="Calibri" w:cs="Calibri"/>
          <w:i/>
          <w:iCs/>
          <w:color w:val="000000"/>
        </w:rPr>
        <w:t>Avril à Mai</w:t>
      </w:r>
      <w:r w:rsidRPr="006A794C">
        <w:rPr>
          <w:rFonts w:ascii="Calibri" w:hAnsi="Calibri" w:cs="Calibri"/>
          <w:i/>
          <w:iCs/>
          <w:color w:val="000000"/>
        </w:rPr>
        <w:t xml:space="preserve"> 202</w:t>
      </w:r>
      <w:r>
        <w:rPr>
          <w:rFonts w:ascii="Calibri" w:hAnsi="Calibri" w:cs="Calibri"/>
          <w:i/>
          <w:iCs/>
          <w:color w:val="000000"/>
        </w:rPr>
        <w:t>2</w:t>
      </w:r>
      <w:r w:rsidRPr="006A794C">
        <w:rPr>
          <w:rFonts w:ascii="Calibri" w:hAnsi="Calibri" w:cs="Calibri"/>
          <w:i/>
          <w:iCs/>
          <w:color w:val="000000"/>
        </w:rPr>
        <w:t xml:space="preserve"> </w:t>
      </w:r>
    </w:p>
    <w:p w:rsidR="006A794C" w:rsidRPr="006A794C" w:rsidRDefault="006A794C" w:rsidP="006A794C">
      <w:pPr>
        <w:autoSpaceDE w:val="0"/>
        <w:autoSpaceDN w:val="0"/>
        <w:adjustRightInd w:val="0"/>
        <w:spacing w:after="0" w:line="240" w:lineRule="auto"/>
        <w:rPr>
          <w:rFonts w:ascii="Calibri" w:hAnsi="Calibri" w:cs="Calibri"/>
          <w:color w:val="000000"/>
        </w:rPr>
      </w:pPr>
      <w:r w:rsidRPr="006A794C">
        <w:rPr>
          <w:rFonts w:ascii="Calibri" w:hAnsi="Calibri" w:cs="Calibri"/>
          <w:color w:val="000000"/>
        </w:rPr>
        <w:t xml:space="preserve">Lancement de l’appel d’offre restreint et Sélection du – de la consultant-e ; signature de la convention. </w:t>
      </w:r>
    </w:p>
    <w:p w:rsidR="006A794C" w:rsidRPr="006A794C" w:rsidRDefault="006A794C" w:rsidP="006A794C">
      <w:pPr>
        <w:autoSpaceDE w:val="0"/>
        <w:autoSpaceDN w:val="0"/>
        <w:adjustRightInd w:val="0"/>
        <w:spacing w:after="0" w:line="240" w:lineRule="auto"/>
        <w:rPr>
          <w:rFonts w:ascii="Calibri" w:hAnsi="Calibri" w:cs="Calibri"/>
          <w:color w:val="000000"/>
        </w:rPr>
      </w:pPr>
      <w:r w:rsidRPr="006A794C">
        <w:rPr>
          <w:rFonts w:ascii="Calibri" w:hAnsi="Calibri" w:cs="Calibri"/>
          <w:b/>
          <w:bCs/>
          <w:color w:val="000000"/>
        </w:rPr>
        <w:t>Réunion de Cadrage</w:t>
      </w:r>
      <w:r>
        <w:rPr>
          <w:rFonts w:ascii="Calibri" w:hAnsi="Calibri" w:cs="Calibri"/>
          <w:b/>
          <w:bCs/>
          <w:color w:val="000000"/>
        </w:rPr>
        <w:t xml:space="preserve"> des 3 capitalisations</w:t>
      </w:r>
      <w:r w:rsidRPr="006A794C">
        <w:rPr>
          <w:rFonts w:ascii="Calibri" w:hAnsi="Calibri" w:cs="Calibri"/>
          <w:b/>
          <w:bCs/>
          <w:color w:val="000000"/>
        </w:rPr>
        <w:t xml:space="preserve"> </w:t>
      </w:r>
      <w:r w:rsidRPr="006A794C">
        <w:rPr>
          <w:rFonts w:ascii="Calibri" w:hAnsi="Calibri" w:cs="Calibri"/>
          <w:i/>
          <w:iCs/>
          <w:color w:val="000000"/>
        </w:rPr>
        <w:t xml:space="preserve"> </w:t>
      </w:r>
      <w:r w:rsidR="00E804FF">
        <w:rPr>
          <w:rFonts w:ascii="Calibri" w:hAnsi="Calibri" w:cs="Calibri"/>
          <w:i/>
          <w:iCs/>
          <w:color w:val="000000"/>
        </w:rPr>
        <w:t>Mai Juin</w:t>
      </w:r>
      <w:r w:rsidRPr="006A794C">
        <w:rPr>
          <w:rFonts w:ascii="Calibri" w:hAnsi="Calibri" w:cs="Calibri"/>
          <w:i/>
          <w:iCs/>
          <w:color w:val="000000"/>
        </w:rPr>
        <w:t xml:space="preserve"> 202</w:t>
      </w:r>
      <w:r>
        <w:rPr>
          <w:rFonts w:ascii="Calibri" w:hAnsi="Calibri" w:cs="Calibri"/>
          <w:i/>
          <w:iCs/>
          <w:color w:val="000000"/>
        </w:rPr>
        <w:t>2</w:t>
      </w:r>
      <w:r w:rsidRPr="006A794C">
        <w:rPr>
          <w:rFonts w:ascii="Calibri" w:hAnsi="Calibri" w:cs="Calibri"/>
          <w:i/>
          <w:iCs/>
          <w:color w:val="000000"/>
        </w:rPr>
        <w:t xml:space="preserve"> </w:t>
      </w:r>
    </w:p>
    <w:p w:rsidR="006A794C" w:rsidRDefault="006A794C" w:rsidP="006A794C">
      <w:pPr>
        <w:autoSpaceDE w:val="0"/>
        <w:autoSpaceDN w:val="0"/>
        <w:adjustRightInd w:val="0"/>
        <w:spacing w:after="0" w:line="240" w:lineRule="auto"/>
        <w:rPr>
          <w:rFonts w:ascii="Calibri" w:hAnsi="Calibri" w:cs="Calibri"/>
          <w:color w:val="000000"/>
        </w:rPr>
      </w:pPr>
      <w:r w:rsidRPr="006A794C">
        <w:rPr>
          <w:rFonts w:ascii="Calibri" w:hAnsi="Calibri" w:cs="Calibri"/>
          <w:color w:val="000000"/>
        </w:rPr>
        <w:t xml:space="preserve">Suite à la sélection de l’équipe consultante, une première réunion de cadrage du projet de capitalisation devra être organisée avec le COPIL de la capitalisation (Réunion n°1, à prévoir </w:t>
      </w:r>
      <w:r>
        <w:rPr>
          <w:rFonts w:ascii="Calibri" w:hAnsi="Calibri" w:cs="Calibri"/>
          <w:color w:val="000000"/>
        </w:rPr>
        <w:t xml:space="preserve">fin avril </w:t>
      </w:r>
      <w:r w:rsidRPr="006A794C">
        <w:rPr>
          <w:rFonts w:ascii="Calibri" w:hAnsi="Calibri" w:cs="Calibri"/>
          <w:color w:val="000000"/>
        </w:rPr>
        <w:t>début mai 2021). Suite à cette réunion, l’équipe consultante sera en charge d</w:t>
      </w:r>
      <w:r>
        <w:rPr>
          <w:rFonts w:ascii="Calibri" w:hAnsi="Calibri" w:cs="Calibri"/>
          <w:color w:val="000000"/>
        </w:rPr>
        <w:t xml:space="preserve">e préparer une note de cadrage </w:t>
      </w:r>
      <w:r w:rsidRPr="006A794C">
        <w:rPr>
          <w:rFonts w:ascii="Calibri" w:hAnsi="Calibri" w:cs="Calibri"/>
          <w:color w:val="000000"/>
        </w:rPr>
        <w:t xml:space="preserve">qui devra, entre autres, détailler les livrables proposés, les approches méthodologiques proposées, préciser les attendus sur la dimension du genre et inclure un chronogramme détaillé </w:t>
      </w:r>
    </w:p>
    <w:p w:rsidR="006A794C" w:rsidRDefault="006A794C" w:rsidP="006A794C">
      <w:pPr>
        <w:autoSpaceDE w:val="0"/>
        <w:autoSpaceDN w:val="0"/>
        <w:adjustRightInd w:val="0"/>
        <w:spacing w:after="0" w:line="240" w:lineRule="auto"/>
        <w:rPr>
          <w:rFonts w:ascii="Calibri" w:hAnsi="Calibri" w:cs="Calibri"/>
          <w:color w:val="000000"/>
        </w:rPr>
      </w:pPr>
    </w:p>
    <w:p w:rsidR="006A794C" w:rsidRDefault="006A794C" w:rsidP="006A794C">
      <w:pPr>
        <w:autoSpaceDE w:val="0"/>
        <w:autoSpaceDN w:val="0"/>
        <w:adjustRightInd w:val="0"/>
        <w:spacing w:after="0" w:line="240" w:lineRule="auto"/>
        <w:rPr>
          <w:rFonts w:ascii="Calibri" w:hAnsi="Calibri" w:cs="Calibri"/>
          <w:b/>
          <w:bCs/>
          <w:color w:val="000000"/>
        </w:rPr>
      </w:pPr>
      <w:r w:rsidRPr="006A794C">
        <w:rPr>
          <w:rFonts w:ascii="Calibri" w:hAnsi="Calibri" w:cs="Calibri"/>
          <w:b/>
          <w:bCs/>
          <w:color w:val="000000"/>
        </w:rPr>
        <w:t xml:space="preserve">Réunion de cadrage pour la première capitalisation </w:t>
      </w:r>
      <w:r>
        <w:rPr>
          <w:rFonts w:ascii="Calibri" w:hAnsi="Calibri" w:cs="Calibri"/>
          <w:b/>
          <w:bCs/>
          <w:color w:val="000000"/>
        </w:rPr>
        <w:t xml:space="preserve"> </w:t>
      </w:r>
      <w:r w:rsidR="00E804FF" w:rsidRPr="00E804FF">
        <w:rPr>
          <w:rFonts w:ascii="Calibri" w:hAnsi="Calibri" w:cs="Calibri"/>
          <w:bCs/>
          <w:i/>
          <w:color w:val="000000"/>
        </w:rPr>
        <w:t>Juin Juillet</w:t>
      </w:r>
      <w:r w:rsidRPr="00E804FF">
        <w:rPr>
          <w:rFonts w:ascii="Calibri" w:hAnsi="Calibri" w:cs="Calibri"/>
          <w:bCs/>
          <w:i/>
          <w:color w:val="000000"/>
        </w:rPr>
        <w:t xml:space="preserve"> 2002</w:t>
      </w:r>
    </w:p>
    <w:p w:rsidR="006A794C" w:rsidRPr="006A794C" w:rsidRDefault="006A794C" w:rsidP="006A794C">
      <w:pPr>
        <w:autoSpaceDE w:val="0"/>
        <w:autoSpaceDN w:val="0"/>
        <w:adjustRightInd w:val="0"/>
        <w:spacing w:after="0" w:line="240" w:lineRule="auto"/>
        <w:rPr>
          <w:rFonts w:ascii="Calibri" w:hAnsi="Calibri" w:cs="Calibri"/>
          <w:bCs/>
          <w:color w:val="000000"/>
        </w:rPr>
      </w:pPr>
      <w:r w:rsidRPr="006A794C">
        <w:rPr>
          <w:rFonts w:ascii="Calibri" w:hAnsi="Calibri" w:cs="Calibri"/>
          <w:bCs/>
          <w:color w:val="000000"/>
        </w:rPr>
        <w:t>Communication de la liste de projets retenu</w:t>
      </w:r>
      <w:r>
        <w:rPr>
          <w:rFonts w:ascii="Calibri" w:hAnsi="Calibri" w:cs="Calibri"/>
          <w:bCs/>
          <w:color w:val="000000"/>
        </w:rPr>
        <w:t>s</w:t>
      </w:r>
      <w:r w:rsidRPr="006A794C">
        <w:rPr>
          <w:rFonts w:ascii="Calibri" w:hAnsi="Calibri" w:cs="Calibri"/>
          <w:bCs/>
          <w:color w:val="000000"/>
        </w:rPr>
        <w:t xml:space="preserve"> par le comité de pilotage </w:t>
      </w:r>
      <w:r>
        <w:rPr>
          <w:rFonts w:ascii="Calibri" w:hAnsi="Calibri" w:cs="Calibri"/>
          <w:bCs/>
          <w:color w:val="000000"/>
        </w:rPr>
        <w:t xml:space="preserve">et des personnes à mobiliser </w:t>
      </w:r>
    </w:p>
    <w:p w:rsidR="008637B6" w:rsidRDefault="006A794C" w:rsidP="006A794C">
      <w:pPr>
        <w:autoSpaceDE w:val="0"/>
        <w:autoSpaceDN w:val="0"/>
        <w:adjustRightInd w:val="0"/>
        <w:spacing w:after="0" w:line="240" w:lineRule="auto"/>
      </w:pPr>
      <w:r>
        <w:t xml:space="preserve">Cette première étape permettra de dégager une première qualification des pratiques de montage de projets et d’affiner les </w:t>
      </w:r>
      <w:r w:rsidR="008637B6">
        <w:t>points clés à documenter et analyser</w:t>
      </w:r>
      <w:r>
        <w:t xml:space="preserve">. Elle permettra également d’affiner la liste des contributeurs essentiels au processus de capitalisation. </w:t>
      </w:r>
    </w:p>
    <w:p w:rsidR="008637B6" w:rsidRDefault="008637B6" w:rsidP="006A794C">
      <w:pPr>
        <w:autoSpaceDE w:val="0"/>
        <w:autoSpaceDN w:val="0"/>
        <w:adjustRightInd w:val="0"/>
        <w:spacing w:after="0" w:line="240" w:lineRule="auto"/>
      </w:pPr>
    </w:p>
    <w:p w:rsidR="006A794C" w:rsidRPr="006A794C" w:rsidRDefault="006A794C" w:rsidP="006A794C">
      <w:pPr>
        <w:autoSpaceDE w:val="0"/>
        <w:autoSpaceDN w:val="0"/>
        <w:adjustRightInd w:val="0"/>
        <w:spacing w:after="0" w:line="240" w:lineRule="auto"/>
        <w:rPr>
          <w:rFonts w:ascii="Calibri" w:hAnsi="Calibri" w:cs="Calibri"/>
          <w:color w:val="000000"/>
        </w:rPr>
      </w:pPr>
      <w:r w:rsidRPr="006A794C">
        <w:rPr>
          <w:rFonts w:ascii="Calibri" w:hAnsi="Calibri" w:cs="Calibri"/>
          <w:b/>
          <w:bCs/>
          <w:color w:val="000000"/>
        </w:rPr>
        <w:t xml:space="preserve">Analyse documentaire et entretiens </w:t>
      </w:r>
      <w:r w:rsidR="00E804FF">
        <w:rPr>
          <w:rFonts w:ascii="Calibri" w:hAnsi="Calibri" w:cs="Calibri"/>
          <w:i/>
          <w:iCs/>
          <w:color w:val="000000"/>
        </w:rPr>
        <w:t xml:space="preserve"> Juillet</w:t>
      </w:r>
      <w:r w:rsidRPr="006A794C">
        <w:rPr>
          <w:rFonts w:ascii="Calibri" w:hAnsi="Calibri" w:cs="Calibri"/>
          <w:i/>
          <w:iCs/>
          <w:color w:val="000000"/>
        </w:rPr>
        <w:t xml:space="preserve"> </w:t>
      </w:r>
      <w:r w:rsidR="008637B6">
        <w:rPr>
          <w:rFonts w:ascii="Calibri" w:hAnsi="Calibri" w:cs="Calibri"/>
          <w:i/>
          <w:iCs/>
          <w:color w:val="000000"/>
        </w:rPr>
        <w:t>à Octobre</w:t>
      </w:r>
      <w:r>
        <w:rPr>
          <w:rFonts w:ascii="Calibri" w:hAnsi="Calibri" w:cs="Calibri"/>
          <w:i/>
          <w:iCs/>
          <w:color w:val="000000"/>
        </w:rPr>
        <w:t xml:space="preserve"> </w:t>
      </w:r>
      <w:r w:rsidRPr="006A794C">
        <w:rPr>
          <w:rFonts w:ascii="Calibri" w:hAnsi="Calibri" w:cs="Calibri"/>
          <w:i/>
          <w:iCs/>
          <w:color w:val="000000"/>
        </w:rPr>
        <w:t>202</w:t>
      </w:r>
      <w:r>
        <w:rPr>
          <w:rFonts w:ascii="Calibri" w:hAnsi="Calibri" w:cs="Calibri"/>
          <w:i/>
          <w:iCs/>
          <w:color w:val="000000"/>
        </w:rPr>
        <w:t>2</w:t>
      </w:r>
      <w:r w:rsidRPr="006A794C">
        <w:rPr>
          <w:rFonts w:ascii="Calibri" w:hAnsi="Calibri" w:cs="Calibri"/>
          <w:i/>
          <w:iCs/>
          <w:color w:val="000000"/>
        </w:rPr>
        <w:t xml:space="preserve"> </w:t>
      </w:r>
    </w:p>
    <w:p w:rsidR="00AC43D1" w:rsidRDefault="00AC43D1" w:rsidP="001B2B28">
      <w:pPr>
        <w:jc w:val="both"/>
        <w:rPr>
          <w:rFonts w:cstheme="minorHAnsi"/>
          <w:b/>
        </w:rPr>
      </w:pPr>
    </w:p>
    <w:p w:rsidR="008637B6" w:rsidRDefault="008637B6" w:rsidP="001B2B28">
      <w:pPr>
        <w:jc w:val="both"/>
        <w:rPr>
          <w:rFonts w:cstheme="minorHAnsi"/>
          <w:b/>
        </w:rPr>
      </w:pPr>
      <w:r>
        <w:rPr>
          <w:rFonts w:cstheme="minorHAnsi"/>
          <w:b/>
        </w:rPr>
        <w:t xml:space="preserve">Rapport provisoire première capitalisation </w:t>
      </w:r>
      <w:r w:rsidRPr="008637B6">
        <w:rPr>
          <w:rFonts w:cstheme="minorHAnsi"/>
          <w:i/>
        </w:rPr>
        <w:t>Octobre novembre 2022</w:t>
      </w:r>
      <w:r>
        <w:rPr>
          <w:rFonts w:cstheme="minorHAnsi"/>
          <w:b/>
        </w:rPr>
        <w:t xml:space="preserve"> </w:t>
      </w:r>
    </w:p>
    <w:p w:rsidR="008637B6" w:rsidRDefault="001B2B28" w:rsidP="001B2B28">
      <w:pPr>
        <w:jc w:val="both"/>
        <w:rPr>
          <w:rFonts w:cstheme="minorHAnsi"/>
        </w:rPr>
      </w:pPr>
      <w:r w:rsidRPr="001D0AD9">
        <w:rPr>
          <w:rFonts w:cstheme="minorHAnsi"/>
          <w:b/>
        </w:rPr>
        <w:t xml:space="preserve">Restitution </w:t>
      </w:r>
      <w:r w:rsidRPr="001B2B28">
        <w:rPr>
          <w:rFonts w:cstheme="minorHAnsi"/>
        </w:rPr>
        <w:t xml:space="preserve">au comité de pilotage du programme des 3 x 1 % </w:t>
      </w:r>
      <w:r w:rsidR="008637B6" w:rsidRPr="008637B6">
        <w:rPr>
          <w:rFonts w:cstheme="minorHAnsi"/>
          <w:i/>
        </w:rPr>
        <w:t xml:space="preserve">Novembre </w:t>
      </w:r>
      <w:r w:rsidR="00E804FF">
        <w:rPr>
          <w:rFonts w:cstheme="minorHAnsi"/>
          <w:i/>
        </w:rPr>
        <w:t xml:space="preserve">Décembre </w:t>
      </w:r>
      <w:r w:rsidR="008637B6" w:rsidRPr="008637B6">
        <w:rPr>
          <w:rFonts w:cstheme="minorHAnsi"/>
          <w:i/>
        </w:rPr>
        <w:t>2022</w:t>
      </w:r>
    </w:p>
    <w:p w:rsidR="001B2B28" w:rsidRPr="001B2B28" w:rsidRDefault="001B2B28" w:rsidP="001B2B28">
      <w:pPr>
        <w:jc w:val="both"/>
        <w:rPr>
          <w:rFonts w:cstheme="minorHAnsi"/>
        </w:rPr>
      </w:pPr>
      <w:r w:rsidRPr="008637B6">
        <w:rPr>
          <w:rFonts w:cstheme="minorHAnsi"/>
          <w:b/>
        </w:rPr>
        <w:t xml:space="preserve">Restitution </w:t>
      </w:r>
      <w:r w:rsidRPr="001B2B28">
        <w:rPr>
          <w:rFonts w:cstheme="minorHAnsi"/>
        </w:rPr>
        <w:t xml:space="preserve">de la première capitalisation dans chacune des 5 régions </w:t>
      </w:r>
      <w:r w:rsidR="008637B6">
        <w:rPr>
          <w:rFonts w:cstheme="minorHAnsi"/>
        </w:rPr>
        <w:t xml:space="preserve">(physique déplacements prévus) </w:t>
      </w:r>
      <w:r w:rsidR="008637B6" w:rsidRPr="008637B6">
        <w:rPr>
          <w:rFonts w:cstheme="minorHAnsi"/>
          <w:i/>
        </w:rPr>
        <w:t>Décembre 2022</w:t>
      </w:r>
      <w:r w:rsidR="008637B6">
        <w:rPr>
          <w:rFonts w:cstheme="minorHAnsi"/>
          <w:i/>
        </w:rPr>
        <w:t xml:space="preserve"> </w:t>
      </w:r>
      <w:r w:rsidR="008637B6" w:rsidRPr="008637B6">
        <w:rPr>
          <w:rFonts w:cstheme="minorHAnsi"/>
          <w:i/>
        </w:rPr>
        <w:t>janvier 2023</w:t>
      </w:r>
    </w:p>
    <w:p w:rsidR="001B2B28" w:rsidRDefault="001B2B28" w:rsidP="001B2B28">
      <w:pPr>
        <w:jc w:val="both"/>
        <w:rPr>
          <w:rFonts w:cstheme="minorHAnsi"/>
          <w:i/>
        </w:rPr>
      </w:pPr>
      <w:r w:rsidRPr="008637B6">
        <w:rPr>
          <w:rFonts w:cstheme="minorHAnsi"/>
          <w:b/>
        </w:rPr>
        <w:t xml:space="preserve">Réunion </w:t>
      </w:r>
      <w:r w:rsidRPr="001B2B28">
        <w:rPr>
          <w:rFonts w:cstheme="minorHAnsi"/>
        </w:rPr>
        <w:t xml:space="preserve">de cadrage pour la deuxième capitalisation </w:t>
      </w:r>
      <w:r w:rsidR="008637B6" w:rsidRPr="008637B6">
        <w:rPr>
          <w:rFonts w:cstheme="minorHAnsi"/>
          <w:i/>
        </w:rPr>
        <w:t>Janvier février 2023</w:t>
      </w:r>
    </w:p>
    <w:p w:rsidR="008637B6" w:rsidRPr="006A794C" w:rsidRDefault="008637B6" w:rsidP="008637B6">
      <w:pPr>
        <w:autoSpaceDE w:val="0"/>
        <w:autoSpaceDN w:val="0"/>
        <w:adjustRightInd w:val="0"/>
        <w:spacing w:after="0" w:line="240" w:lineRule="auto"/>
        <w:rPr>
          <w:rFonts w:ascii="Calibri" w:hAnsi="Calibri" w:cs="Calibri"/>
          <w:bCs/>
          <w:color w:val="000000"/>
        </w:rPr>
      </w:pPr>
      <w:r w:rsidRPr="006A794C">
        <w:rPr>
          <w:rFonts w:ascii="Calibri" w:hAnsi="Calibri" w:cs="Calibri"/>
          <w:bCs/>
          <w:color w:val="000000"/>
        </w:rPr>
        <w:t>Communication de la liste de projets retenu</w:t>
      </w:r>
      <w:r>
        <w:rPr>
          <w:rFonts w:ascii="Calibri" w:hAnsi="Calibri" w:cs="Calibri"/>
          <w:bCs/>
          <w:color w:val="000000"/>
        </w:rPr>
        <w:t>s</w:t>
      </w:r>
      <w:r w:rsidRPr="006A794C">
        <w:rPr>
          <w:rFonts w:ascii="Calibri" w:hAnsi="Calibri" w:cs="Calibri"/>
          <w:bCs/>
          <w:color w:val="000000"/>
        </w:rPr>
        <w:t xml:space="preserve"> par le comité de pilotage </w:t>
      </w:r>
      <w:r>
        <w:rPr>
          <w:rFonts w:ascii="Calibri" w:hAnsi="Calibri" w:cs="Calibri"/>
          <w:bCs/>
          <w:color w:val="000000"/>
        </w:rPr>
        <w:t xml:space="preserve">et des personnes à mobiliser </w:t>
      </w:r>
    </w:p>
    <w:p w:rsidR="008637B6" w:rsidRDefault="008637B6" w:rsidP="008637B6">
      <w:pPr>
        <w:autoSpaceDE w:val="0"/>
        <w:autoSpaceDN w:val="0"/>
        <w:adjustRightInd w:val="0"/>
        <w:spacing w:after="0" w:line="240" w:lineRule="auto"/>
      </w:pPr>
      <w:r>
        <w:t xml:space="preserve">Comme pour la première capitalisation cette première étape permettra de dégager une première qualification des pratiques de réalisation des projets et d’affiner les points clés à documenter et </w:t>
      </w:r>
      <w:r>
        <w:lastRenderedPageBreak/>
        <w:t xml:space="preserve">analyser. Elle permettra également d’affiner la liste des contributeurs essentiels au processus de capitalisation. </w:t>
      </w:r>
    </w:p>
    <w:p w:rsidR="0095370C" w:rsidRPr="006A794C" w:rsidRDefault="0095370C" w:rsidP="0095370C">
      <w:pPr>
        <w:autoSpaceDE w:val="0"/>
        <w:autoSpaceDN w:val="0"/>
        <w:adjustRightInd w:val="0"/>
        <w:spacing w:after="0" w:line="240" w:lineRule="auto"/>
        <w:rPr>
          <w:rFonts w:ascii="Calibri" w:hAnsi="Calibri" w:cs="Calibri"/>
          <w:color w:val="000000"/>
        </w:rPr>
      </w:pPr>
      <w:r w:rsidRPr="006A794C">
        <w:rPr>
          <w:rFonts w:ascii="Calibri" w:hAnsi="Calibri" w:cs="Calibri"/>
          <w:b/>
          <w:bCs/>
          <w:color w:val="000000"/>
        </w:rPr>
        <w:t>Analyse documentaire et entretiens</w:t>
      </w:r>
      <w:r>
        <w:rPr>
          <w:rFonts w:ascii="Calibri" w:hAnsi="Calibri" w:cs="Calibri"/>
          <w:b/>
          <w:bCs/>
          <w:color w:val="000000"/>
        </w:rPr>
        <w:t xml:space="preserve"> </w:t>
      </w:r>
      <w:r w:rsidRPr="006A794C">
        <w:rPr>
          <w:rFonts w:ascii="Calibri" w:hAnsi="Calibri" w:cs="Calibri"/>
          <w:b/>
          <w:bCs/>
          <w:color w:val="000000"/>
        </w:rPr>
        <w:t xml:space="preserve"> </w:t>
      </w:r>
      <w:r w:rsidRPr="006A794C">
        <w:rPr>
          <w:rFonts w:ascii="Calibri" w:hAnsi="Calibri" w:cs="Calibri"/>
          <w:i/>
          <w:iCs/>
          <w:color w:val="000000"/>
        </w:rPr>
        <w:t xml:space="preserve"> </w:t>
      </w:r>
      <w:r>
        <w:rPr>
          <w:rFonts w:ascii="Calibri" w:hAnsi="Calibri" w:cs="Calibri"/>
          <w:i/>
          <w:iCs/>
          <w:color w:val="000000"/>
        </w:rPr>
        <w:t xml:space="preserve">février à Octobre </w:t>
      </w:r>
      <w:r w:rsidRPr="006A794C">
        <w:rPr>
          <w:rFonts w:ascii="Calibri" w:hAnsi="Calibri" w:cs="Calibri"/>
          <w:i/>
          <w:iCs/>
          <w:color w:val="000000"/>
        </w:rPr>
        <w:t>202</w:t>
      </w:r>
      <w:r>
        <w:rPr>
          <w:rFonts w:ascii="Calibri" w:hAnsi="Calibri" w:cs="Calibri"/>
          <w:i/>
          <w:iCs/>
          <w:color w:val="000000"/>
        </w:rPr>
        <w:t>3</w:t>
      </w:r>
      <w:r w:rsidRPr="006A794C">
        <w:rPr>
          <w:rFonts w:ascii="Calibri" w:hAnsi="Calibri" w:cs="Calibri"/>
          <w:i/>
          <w:iCs/>
          <w:color w:val="000000"/>
        </w:rPr>
        <w:t xml:space="preserve"> </w:t>
      </w:r>
    </w:p>
    <w:p w:rsidR="0095370C" w:rsidRPr="001B2B28" w:rsidRDefault="0095370C" w:rsidP="0095370C">
      <w:pPr>
        <w:jc w:val="both"/>
        <w:rPr>
          <w:rFonts w:cstheme="minorHAnsi"/>
        </w:rPr>
      </w:pPr>
      <w:r w:rsidRPr="0095370C">
        <w:rPr>
          <w:rFonts w:cstheme="minorHAnsi"/>
        </w:rPr>
        <w:t xml:space="preserve">Possibilité de missions sur le terrain </w:t>
      </w:r>
      <w:r w:rsidRPr="001B2B28">
        <w:rPr>
          <w:rFonts w:cstheme="minorHAnsi"/>
        </w:rPr>
        <w:t xml:space="preserve"> </w:t>
      </w:r>
    </w:p>
    <w:p w:rsidR="001B2B28" w:rsidRPr="001B2B28" w:rsidRDefault="001B2B28" w:rsidP="001B2B28">
      <w:pPr>
        <w:jc w:val="both"/>
        <w:rPr>
          <w:rFonts w:cstheme="minorHAnsi"/>
        </w:rPr>
      </w:pPr>
      <w:r w:rsidRPr="001D0AD9">
        <w:rPr>
          <w:rFonts w:cstheme="minorHAnsi"/>
          <w:b/>
        </w:rPr>
        <w:t>Restitution</w:t>
      </w:r>
      <w:r w:rsidRPr="001B2B28">
        <w:rPr>
          <w:rFonts w:cstheme="minorHAnsi"/>
        </w:rPr>
        <w:t xml:space="preserve"> au comité de pilotage du programme des 3 x 1 % </w:t>
      </w:r>
      <w:r w:rsidR="0095370C" w:rsidRPr="0095370C">
        <w:rPr>
          <w:rFonts w:cstheme="minorHAnsi"/>
          <w:i/>
        </w:rPr>
        <w:t>Novembre Décembre 2023</w:t>
      </w:r>
      <w:r w:rsidR="0095370C">
        <w:rPr>
          <w:rFonts w:cstheme="minorHAnsi"/>
        </w:rPr>
        <w:t xml:space="preserve"> </w:t>
      </w:r>
    </w:p>
    <w:p w:rsidR="001B2B28" w:rsidRPr="001B2B28" w:rsidRDefault="001B2B28" w:rsidP="001B2B28">
      <w:pPr>
        <w:jc w:val="both"/>
        <w:rPr>
          <w:rFonts w:cstheme="minorHAnsi"/>
        </w:rPr>
      </w:pPr>
      <w:r w:rsidRPr="0095370C">
        <w:rPr>
          <w:rFonts w:cstheme="minorHAnsi"/>
          <w:b/>
        </w:rPr>
        <w:t>Restitution</w:t>
      </w:r>
      <w:r w:rsidRPr="001B2B28">
        <w:rPr>
          <w:rFonts w:cstheme="minorHAnsi"/>
        </w:rPr>
        <w:t xml:space="preserve"> de la deuxième capitalisation dans chacune des 5 régions (physique déplacements prévus). </w:t>
      </w:r>
      <w:r w:rsidR="0095370C" w:rsidRPr="0095370C">
        <w:rPr>
          <w:rFonts w:cstheme="minorHAnsi"/>
          <w:i/>
        </w:rPr>
        <w:t>Décembre 2023</w:t>
      </w:r>
      <w:r w:rsidR="0095370C">
        <w:rPr>
          <w:rFonts w:cstheme="minorHAnsi"/>
          <w:i/>
        </w:rPr>
        <w:t xml:space="preserve"> Janvier 2024</w:t>
      </w:r>
    </w:p>
    <w:p w:rsidR="001B2B28" w:rsidRPr="001B2B28" w:rsidRDefault="001B2B28" w:rsidP="001B2B28">
      <w:pPr>
        <w:jc w:val="both"/>
        <w:rPr>
          <w:rFonts w:cstheme="minorHAnsi"/>
        </w:rPr>
      </w:pPr>
      <w:r w:rsidRPr="0095370C">
        <w:rPr>
          <w:rFonts w:cstheme="minorHAnsi"/>
          <w:b/>
        </w:rPr>
        <w:t xml:space="preserve">Réunion </w:t>
      </w:r>
      <w:r w:rsidRPr="001B2B28">
        <w:rPr>
          <w:rFonts w:cstheme="minorHAnsi"/>
        </w:rPr>
        <w:t xml:space="preserve">de cadrage pour la troisième capitalisation. </w:t>
      </w:r>
      <w:r w:rsidR="0095370C" w:rsidRPr="0095370C">
        <w:rPr>
          <w:rFonts w:cstheme="minorHAnsi"/>
          <w:i/>
        </w:rPr>
        <w:t>Novembre 2023</w:t>
      </w:r>
      <w:r w:rsidR="0095370C">
        <w:rPr>
          <w:rFonts w:cstheme="minorHAnsi"/>
        </w:rPr>
        <w:t xml:space="preserve"> </w:t>
      </w:r>
    </w:p>
    <w:p w:rsidR="0095370C" w:rsidRDefault="0095370C" w:rsidP="0095370C">
      <w:pPr>
        <w:autoSpaceDE w:val="0"/>
        <w:autoSpaceDN w:val="0"/>
        <w:adjustRightInd w:val="0"/>
        <w:spacing w:after="0" w:line="240" w:lineRule="auto"/>
      </w:pPr>
      <w:r>
        <w:t>Comme pour les deux  premières capitalisations cette première étape permettra de dégager une première qualification des pratiques de réalisation des projets initié</w:t>
      </w:r>
      <w:r w:rsidR="00542D89">
        <w:t>s</w:t>
      </w:r>
      <w:r>
        <w:t xml:space="preserve"> pendant la période de travail en consortium et d’affiner les points clés à documenter et analyser. Elle permettra également d’affiner la liste des contributeurs essentiels au processus de capitalisation. </w:t>
      </w:r>
    </w:p>
    <w:p w:rsidR="0095370C" w:rsidRPr="006A794C" w:rsidRDefault="0095370C" w:rsidP="0095370C">
      <w:pPr>
        <w:autoSpaceDE w:val="0"/>
        <w:autoSpaceDN w:val="0"/>
        <w:adjustRightInd w:val="0"/>
        <w:spacing w:after="0" w:line="240" w:lineRule="auto"/>
        <w:rPr>
          <w:rFonts w:ascii="Calibri" w:hAnsi="Calibri" w:cs="Calibri"/>
          <w:color w:val="000000"/>
        </w:rPr>
      </w:pPr>
      <w:r w:rsidRPr="006A794C">
        <w:rPr>
          <w:rFonts w:ascii="Calibri" w:hAnsi="Calibri" w:cs="Calibri"/>
          <w:b/>
          <w:bCs/>
          <w:color w:val="000000"/>
        </w:rPr>
        <w:t>Analyse documentaire et entretiens</w:t>
      </w:r>
      <w:r>
        <w:rPr>
          <w:rFonts w:ascii="Calibri" w:hAnsi="Calibri" w:cs="Calibri"/>
          <w:b/>
          <w:bCs/>
          <w:color w:val="000000"/>
        </w:rPr>
        <w:t xml:space="preserve"> </w:t>
      </w:r>
      <w:r w:rsidRPr="006A794C">
        <w:rPr>
          <w:rFonts w:ascii="Calibri" w:hAnsi="Calibri" w:cs="Calibri"/>
          <w:b/>
          <w:bCs/>
          <w:color w:val="000000"/>
        </w:rPr>
        <w:t xml:space="preserve"> </w:t>
      </w:r>
      <w:r w:rsidRPr="006A794C">
        <w:rPr>
          <w:rFonts w:ascii="Calibri" w:hAnsi="Calibri" w:cs="Calibri"/>
          <w:i/>
          <w:iCs/>
          <w:color w:val="000000"/>
        </w:rPr>
        <w:t xml:space="preserve"> </w:t>
      </w:r>
      <w:r>
        <w:rPr>
          <w:rFonts w:ascii="Calibri" w:hAnsi="Calibri" w:cs="Calibri"/>
          <w:i/>
          <w:iCs/>
          <w:color w:val="000000"/>
        </w:rPr>
        <w:t xml:space="preserve">Novembre </w:t>
      </w:r>
      <w:r w:rsidRPr="006A794C">
        <w:rPr>
          <w:rFonts w:ascii="Calibri" w:hAnsi="Calibri" w:cs="Calibri"/>
          <w:i/>
          <w:iCs/>
          <w:color w:val="000000"/>
        </w:rPr>
        <w:t>202</w:t>
      </w:r>
      <w:r>
        <w:rPr>
          <w:rFonts w:ascii="Calibri" w:hAnsi="Calibri" w:cs="Calibri"/>
          <w:i/>
          <w:iCs/>
          <w:color w:val="000000"/>
        </w:rPr>
        <w:t>3</w:t>
      </w:r>
      <w:r w:rsidRPr="006A794C">
        <w:rPr>
          <w:rFonts w:ascii="Calibri" w:hAnsi="Calibri" w:cs="Calibri"/>
          <w:i/>
          <w:iCs/>
          <w:color w:val="000000"/>
        </w:rPr>
        <w:t xml:space="preserve"> </w:t>
      </w:r>
      <w:r>
        <w:rPr>
          <w:rFonts w:ascii="Calibri" w:hAnsi="Calibri" w:cs="Calibri"/>
          <w:i/>
          <w:iCs/>
          <w:color w:val="000000"/>
        </w:rPr>
        <w:t>à Mars 2024</w:t>
      </w:r>
    </w:p>
    <w:p w:rsidR="0095370C" w:rsidRDefault="0095370C" w:rsidP="001B2B28">
      <w:pPr>
        <w:jc w:val="both"/>
        <w:rPr>
          <w:rFonts w:cstheme="minorHAnsi"/>
          <w:b/>
        </w:rPr>
      </w:pPr>
    </w:p>
    <w:p w:rsidR="001B2B28" w:rsidRDefault="001B2B28" w:rsidP="001B2B28">
      <w:pPr>
        <w:jc w:val="both"/>
        <w:rPr>
          <w:rFonts w:cstheme="minorHAnsi"/>
          <w:i/>
        </w:rPr>
      </w:pPr>
      <w:r w:rsidRPr="001D0AD9">
        <w:rPr>
          <w:rFonts w:cstheme="minorHAnsi"/>
          <w:b/>
        </w:rPr>
        <w:t xml:space="preserve">Restitution </w:t>
      </w:r>
      <w:r w:rsidRPr="001B2B28">
        <w:rPr>
          <w:rFonts w:cstheme="minorHAnsi"/>
        </w:rPr>
        <w:t xml:space="preserve">des 3 capitalisations à Paris du programme de rapprochement  (1 journée atelier en coïncidence avec le comité de pilotage du programme). </w:t>
      </w:r>
      <w:r w:rsidR="0095370C" w:rsidRPr="0095370C">
        <w:rPr>
          <w:rFonts w:cstheme="minorHAnsi"/>
          <w:i/>
        </w:rPr>
        <w:t>Avril 2024</w:t>
      </w:r>
    </w:p>
    <w:p w:rsidR="00542D89" w:rsidRPr="00542D89" w:rsidRDefault="00542D89" w:rsidP="001B2B28">
      <w:pPr>
        <w:jc w:val="both"/>
        <w:rPr>
          <w:rFonts w:cstheme="minorHAnsi"/>
          <w:b/>
        </w:rPr>
      </w:pPr>
      <w:r w:rsidRPr="00542D89">
        <w:rPr>
          <w:rFonts w:cstheme="minorHAnsi"/>
          <w:b/>
          <w:i/>
        </w:rPr>
        <w:t xml:space="preserve">3 livrables sont attendus sous forme de rapport d’une trentaine de pages </w:t>
      </w:r>
    </w:p>
    <w:p w:rsidR="001B2B28" w:rsidRPr="001B2B28" w:rsidRDefault="001B2B28" w:rsidP="001B2B28">
      <w:pPr>
        <w:jc w:val="both"/>
        <w:rPr>
          <w:rFonts w:cstheme="minorHAnsi"/>
          <w:b/>
        </w:rPr>
      </w:pPr>
      <w:r w:rsidRPr="001B2B28">
        <w:rPr>
          <w:rFonts w:cstheme="minorHAnsi"/>
          <w:b/>
        </w:rPr>
        <w:t>La mise en forme des livrables (1 livrable par capitalisation) ne fait pas partie d</w:t>
      </w:r>
      <w:r w:rsidR="0009711D">
        <w:rPr>
          <w:rFonts w:cstheme="minorHAnsi"/>
          <w:b/>
        </w:rPr>
        <w:t>u travail demandé au consultant.</w:t>
      </w:r>
    </w:p>
    <w:p w:rsidR="001B2B28" w:rsidRPr="001B2B28" w:rsidRDefault="001B2B28" w:rsidP="001B2B28">
      <w:pPr>
        <w:jc w:val="both"/>
        <w:rPr>
          <w:rFonts w:cstheme="minorHAnsi"/>
          <w:b/>
        </w:rPr>
      </w:pPr>
      <w:r w:rsidRPr="001B2B28">
        <w:rPr>
          <w:rFonts w:cstheme="minorHAnsi"/>
          <w:b/>
        </w:rPr>
        <w:t>Des conseils s</w:t>
      </w:r>
      <w:r>
        <w:rPr>
          <w:rFonts w:cstheme="minorHAnsi"/>
          <w:b/>
        </w:rPr>
        <w:t>er</w:t>
      </w:r>
      <w:r w:rsidRPr="001B2B28">
        <w:rPr>
          <w:rFonts w:cstheme="minorHAnsi"/>
          <w:b/>
        </w:rPr>
        <w:t>ont cependant attendu</w:t>
      </w:r>
      <w:r>
        <w:rPr>
          <w:rFonts w:cstheme="minorHAnsi"/>
          <w:b/>
        </w:rPr>
        <w:t>s</w:t>
      </w:r>
      <w:r w:rsidRPr="001B2B28">
        <w:rPr>
          <w:rFonts w:cstheme="minorHAnsi"/>
          <w:b/>
        </w:rPr>
        <w:t xml:space="preserve"> du consultant </w:t>
      </w:r>
      <w:r>
        <w:rPr>
          <w:rFonts w:cstheme="minorHAnsi"/>
          <w:b/>
        </w:rPr>
        <w:t>pour déterminer le ou  les meilleurs supports à concevoir.</w:t>
      </w:r>
    </w:p>
    <w:p w:rsidR="001B2B28" w:rsidRPr="001B2B28" w:rsidRDefault="001B2B28" w:rsidP="001B2B28">
      <w:pPr>
        <w:jc w:val="both"/>
        <w:rPr>
          <w:rFonts w:cstheme="minorHAnsi"/>
        </w:rPr>
      </w:pPr>
      <w:r w:rsidRPr="001B2B28">
        <w:rPr>
          <w:rFonts w:cstheme="minorHAnsi"/>
        </w:rPr>
        <w:t xml:space="preserve">La durée globale de la mise en œuvre des </w:t>
      </w:r>
      <w:r w:rsidR="001D0AD9">
        <w:rPr>
          <w:rFonts w:cstheme="minorHAnsi"/>
        </w:rPr>
        <w:t xml:space="preserve">3 </w:t>
      </w:r>
      <w:r w:rsidRPr="001B2B28">
        <w:rPr>
          <w:rFonts w:cstheme="minorHAnsi"/>
        </w:rPr>
        <w:t>capitalisations est estimée à 24 mois (fin du programme avril 2024).</w:t>
      </w:r>
    </w:p>
    <w:p w:rsidR="00AE2BA4" w:rsidRPr="00376BB6" w:rsidRDefault="00AE2BA4" w:rsidP="001B2009">
      <w:pPr>
        <w:pStyle w:val="Titre2"/>
        <w:numPr>
          <w:ilvl w:val="1"/>
          <w:numId w:val="12"/>
        </w:numPr>
      </w:pPr>
      <w:r w:rsidRPr="00376BB6">
        <w:t>Plan de financement</w:t>
      </w:r>
      <w:bookmarkEnd w:id="67"/>
    </w:p>
    <w:p w:rsidR="00AE2BA4" w:rsidRPr="001E15D6" w:rsidRDefault="00AE2BA4" w:rsidP="00AE2BA4">
      <w:pPr>
        <w:autoSpaceDE w:val="0"/>
        <w:autoSpaceDN w:val="0"/>
        <w:adjustRightInd w:val="0"/>
        <w:spacing w:line="240" w:lineRule="auto"/>
        <w:rPr>
          <w:rFonts w:cstheme="minorHAnsi"/>
        </w:rPr>
      </w:pPr>
      <w:r w:rsidRPr="001E15D6">
        <w:rPr>
          <w:rFonts w:cstheme="minorHAnsi"/>
        </w:rPr>
        <w:t>Les versements seront réalisés selon le calendrier ci-après :</w:t>
      </w:r>
    </w:p>
    <w:p w:rsidR="00AE2BA4" w:rsidRPr="001E15D6" w:rsidRDefault="00AE2BA4" w:rsidP="001B2009">
      <w:pPr>
        <w:numPr>
          <w:ilvl w:val="0"/>
          <w:numId w:val="4"/>
        </w:numPr>
        <w:spacing w:before="60" w:after="0" w:line="260" w:lineRule="atLeast"/>
        <w:jc w:val="both"/>
        <w:rPr>
          <w:rFonts w:cstheme="minorHAnsi"/>
        </w:rPr>
      </w:pPr>
      <w:r w:rsidRPr="001E15D6">
        <w:rPr>
          <w:rFonts w:cstheme="minorHAnsi"/>
        </w:rPr>
        <w:t>30 % à la signature du contrat.</w:t>
      </w:r>
    </w:p>
    <w:p w:rsidR="00AE2BA4" w:rsidRPr="001E15D6" w:rsidRDefault="00AE2BA4" w:rsidP="001B2009">
      <w:pPr>
        <w:numPr>
          <w:ilvl w:val="0"/>
          <w:numId w:val="4"/>
        </w:numPr>
        <w:spacing w:before="60" w:after="0" w:line="260" w:lineRule="atLeast"/>
        <w:jc w:val="both"/>
        <w:rPr>
          <w:rFonts w:cstheme="minorHAnsi"/>
        </w:rPr>
      </w:pPr>
      <w:r w:rsidRPr="001E15D6">
        <w:rPr>
          <w:rFonts w:cstheme="minorHAnsi"/>
        </w:rPr>
        <w:t xml:space="preserve">20 % après validation du rapport </w:t>
      </w:r>
      <w:r w:rsidR="00E9746A" w:rsidRPr="001E15D6">
        <w:rPr>
          <w:rFonts w:cstheme="minorHAnsi"/>
        </w:rPr>
        <w:t xml:space="preserve">de la première capitalisation </w:t>
      </w:r>
      <w:r w:rsidRPr="001E15D6">
        <w:rPr>
          <w:rFonts w:cstheme="minorHAnsi"/>
        </w:rPr>
        <w:t>en version définitive.</w:t>
      </w:r>
    </w:p>
    <w:p w:rsidR="00AE2BA4" w:rsidRPr="001E15D6" w:rsidRDefault="00AE2BA4" w:rsidP="001B2009">
      <w:pPr>
        <w:numPr>
          <w:ilvl w:val="0"/>
          <w:numId w:val="4"/>
        </w:numPr>
        <w:spacing w:before="60" w:after="0" w:line="260" w:lineRule="atLeast"/>
        <w:jc w:val="both"/>
        <w:rPr>
          <w:rFonts w:cstheme="minorHAnsi"/>
        </w:rPr>
      </w:pPr>
      <w:r w:rsidRPr="001E15D6">
        <w:rPr>
          <w:rFonts w:cstheme="minorHAnsi"/>
        </w:rPr>
        <w:t xml:space="preserve">30 % après validation du rapport </w:t>
      </w:r>
      <w:r w:rsidR="001E15D6" w:rsidRPr="001E15D6">
        <w:rPr>
          <w:rFonts w:cstheme="minorHAnsi"/>
        </w:rPr>
        <w:t>de la deuxième capitalisation</w:t>
      </w:r>
      <w:r w:rsidR="001D0AD9">
        <w:rPr>
          <w:rFonts w:cstheme="minorHAnsi"/>
        </w:rPr>
        <w:t xml:space="preserve"> en version définitive</w:t>
      </w:r>
      <w:r w:rsidRPr="001E15D6">
        <w:rPr>
          <w:rFonts w:cstheme="minorHAnsi"/>
        </w:rPr>
        <w:t>.</w:t>
      </w:r>
    </w:p>
    <w:p w:rsidR="00AE2BA4" w:rsidRPr="001E15D6" w:rsidRDefault="00AE2BA4" w:rsidP="001B2009">
      <w:pPr>
        <w:numPr>
          <w:ilvl w:val="0"/>
          <w:numId w:val="4"/>
        </w:numPr>
        <w:spacing w:before="60" w:after="0" w:line="260" w:lineRule="atLeast"/>
        <w:jc w:val="both"/>
        <w:rPr>
          <w:rFonts w:cstheme="minorHAnsi"/>
        </w:rPr>
      </w:pPr>
      <w:r w:rsidRPr="001E15D6">
        <w:rPr>
          <w:rFonts w:cstheme="minorHAnsi"/>
        </w:rPr>
        <w:t xml:space="preserve">20 % après la remise du rapport </w:t>
      </w:r>
      <w:r w:rsidR="001E15D6" w:rsidRPr="001E15D6">
        <w:rPr>
          <w:rFonts w:cstheme="minorHAnsi"/>
        </w:rPr>
        <w:t xml:space="preserve">global </w:t>
      </w:r>
      <w:r w:rsidRPr="001E15D6">
        <w:rPr>
          <w:rFonts w:cstheme="minorHAnsi"/>
        </w:rPr>
        <w:t xml:space="preserve"> et la restitution publique</w:t>
      </w:r>
    </w:p>
    <w:p w:rsidR="00AE2BA4" w:rsidRPr="001E15D6" w:rsidRDefault="00AE2BA4" w:rsidP="00AE2BA4">
      <w:pPr>
        <w:ind w:left="720"/>
        <w:rPr>
          <w:rFonts w:cstheme="minorHAnsi"/>
        </w:rPr>
      </w:pPr>
    </w:p>
    <w:p w:rsidR="00AE2BA4" w:rsidRPr="00376BB6" w:rsidRDefault="00AE2BA4" w:rsidP="001B2009">
      <w:pPr>
        <w:pStyle w:val="Titre2"/>
        <w:numPr>
          <w:ilvl w:val="1"/>
          <w:numId w:val="13"/>
        </w:numPr>
      </w:pPr>
      <w:bookmarkStart w:id="68" w:name="_Toc93658868"/>
      <w:r w:rsidRPr="00376BB6">
        <w:t>Calendrier de réalisation de</w:t>
      </w:r>
      <w:r w:rsidR="00426247" w:rsidRPr="00376BB6">
        <w:t>s capitalisations</w:t>
      </w:r>
      <w:bookmarkEnd w:id="68"/>
    </w:p>
    <w:p w:rsidR="00AE2BA4" w:rsidRDefault="00AE2BA4" w:rsidP="00AE2BA4">
      <w:pPr>
        <w:rPr>
          <w:rFonts w:cstheme="minorHAnsi"/>
        </w:rPr>
      </w:pPr>
      <w:r w:rsidRPr="001E15D6">
        <w:rPr>
          <w:rFonts w:cstheme="minorHAnsi"/>
        </w:rPr>
        <w:t>Le calendrier prévisionnel est le suivant :</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5670"/>
        <w:gridCol w:w="2977"/>
      </w:tblGrid>
      <w:tr w:rsidR="00316FA0" w:rsidRPr="001E15D6" w:rsidTr="00C142C9">
        <w:tc>
          <w:tcPr>
            <w:tcW w:w="1384" w:type="dxa"/>
            <w:vMerge w:val="restart"/>
          </w:tcPr>
          <w:p w:rsidR="00316FA0" w:rsidRPr="001E15D6" w:rsidRDefault="00316FA0" w:rsidP="00C142C9">
            <w:pPr>
              <w:rPr>
                <w:rFonts w:cstheme="minorHAnsi"/>
              </w:rPr>
            </w:pPr>
            <w:r>
              <w:rPr>
                <w:rFonts w:cstheme="minorHAnsi"/>
              </w:rPr>
              <w:t>Préparation</w:t>
            </w:r>
          </w:p>
        </w:tc>
        <w:tc>
          <w:tcPr>
            <w:tcW w:w="5670" w:type="dxa"/>
          </w:tcPr>
          <w:p w:rsidR="00316FA0" w:rsidRPr="001E15D6" w:rsidRDefault="00316FA0" w:rsidP="00C142C9">
            <w:pPr>
              <w:rPr>
                <w:rFonts w:cstheme="minorHAnsi"/>
              </w:rPr>
            </w:pPr>
            <w:r>
              <w:rPr>
                <w:rFonts w:cstheme="minorHAnsi"/>
              </w:rPr>
              <w:t>Lancement de l’appel d’offre restreint</w:t>
            </w:r>
          </w:p>
        </w:tc>
        <w:tc>
          <w:tcPr>
            <w:tcW w:w="2977" w:type="dxa"/>
          </w:tcPr>
          <w:p w:rsidR="00316FA0" w:rsidRPr="001E15D6" w:rsidRDefault="00316FA0" w:rsidP="00C142C9">
            <w:pPr>
              <w:rPr>
                <w:rFonts w:cstheme="minorHAnsi"/>
              </w:rPr>
            </w:pPr>
            <w:r>
              <w:rPr>
                <w:rFonts w:cstheme="minorHAnsi"/>
              </w:rPr>
              <w:t>02</w:t>
            </w:r>
            <w:r w:rsidRPr="001E15D6">
              <w:rPr>
                <w:rFonts w:cstheme="minorHAnsi"/>
              </w:rPr>
              <w:t>- 2022</w:t>
            </w:r>
          </w:p>
        </w:tc>
      </w:tr>
      <w:tr w:rsidR="00316FA0" w:rsidRPr="001E15D6" w:rsidTr="00C142C9">
        <w:tc>
          <w:tcPr>
            <w:tcW w:w="1384" w:type="dxa"/>
            <w:vMerge/>
          </w:tcPr>
          <w:p w:rsidR="00316FA0" w:rsidRPr="001E15D6" w:rsidRDefault="00316FA0" w:rsidP="00C142C9">
            <w:pPr>
              <w:rPr>
                <w:rFonts w:cstheme="minorHAnsi"/>
              </w:rPr>
            </w:pPr>
          </w:p>
        </w:tc>
        <w:tc>
          <w:tcPr>
            <w:tcW w:w="5670" w:type="dxa"/>
          </w:tcPr>
          <w:p w:rsidR="00316FA0" w:rsidRPr="001E15D6" w:rsidRDefault="00316FA0" w:rsidP="00C142C9">
            <w:pPr>
              <w:ind w:right="459"/>
              <w:rPr>
                <w:rFonts w:cstheme="minorHAnsi"/>
              </w:rPr>
            </w:pPr>
            <w:r>
              <w:rPr>
                <w:rFonts w:cstheme="minorHAnsi"/>
              </w:rPr>
              <w:t>Sélection des offres</w:t>
            </w:r>
          </w:p>
        </w:tc>
        <w:tc>
          <w:tcPr>
            <w:tcW w:w="2977" w:type="dxa"/>
          </w:tcPr>
          <w:p w:rsidR="00316FA0" w:rsidRPr="001E15D6" w:rsidRDefault="00316FA0" w:rsidP="00E804FF">
            <w:pPr>
              <w:rPr>
                <w:rFonts w:cstheme="minorHAnsi"/>
              </w:rPr>
            </w:pPr>
            <w:r>
              <w:rPr>
                <w:rFonts w:cstheme="minorHAnsi"/>
              </w:rPr>
              <w:t>0</w:t>
            </w:r>
            <w:r w:rsidR="00E804FF">
              <w:rPr>
                <w:rFonts w:cstheme="minorHAnsi"/>
              </w:rPr>
              <w:t>4</w:t>
            </w:r>
            <w:r>
              <w:rPr>
                <w:rFonts w:cstheme="minorHAnsi"/>
              </w:rPr>
              <w:t>-</w:t>
            </w:r>
            <w:r w:rsidRPr="001E15D6">
              <w:rPr>
                <w:rFonts w:cstheme="minorHAnsi"/>
              </w:rPr>
              <w:t xml:space="preserve"> 202</w:t>
            </w:r>
            <w:r>
              <w:rPr>
                <w:rFonts w:cstheme="minorHAnsi"/>
              </w:rPr>
              <w:t>2</w:t>
            </w:r>
          </w:p>
        </w:tc>
      </w:tr>
      <w:tr w:rsidR="00316FA0" w:rsidRPr="001E15D6" w:rsidTr="00C142C9">
        <w:tc>
          <w:tcPr>
            <w:tcW w:w="1384" w:type="dxa"/>
            <w:vMerge/>
          </w:tcPr>
          <w:p w:rsidR="00316FA0" w:rsidRPr="001E15D6" w:rsidRDefault="00316FA0" w:rsidP="00C142C9">
            <w:pPr>
              <w:rPr>
                <w:rFonts w:cstheme="minorHAnsi"/>
              </w:rPr>
            </w:pPr>
          </w:p>
        </w:tc>
        <w:tc>
          <w:tcPr>
            <w:tcW w:w="5670" w:type="dxa"/>
          </w:tcPr>
          <w:p w:rsidR="00316FA0" w:rsidRPr="001E15D6" w:rsidRDefault="00316FA0" w:rsidP="00C142C9">
            <w:pPr>
              <w:rPr>
                <w:rFonts w:cstheme="minorHAnsi"/>
              </w:rPr>
            </w:pPr>
            <w:r>
              <w:rPr>
                <w:rFonts w:cstheme="minorHAnsi"/>
              </w:rPr>
              <w:t>Contractualisation consultant</w:t>
            </w:r>
            <w:r w:rsidR="005B3144">
              <w:rPr>
                <w:rFonts w:cstheme="minorHAnsi"/>
              </w:rPr>
              <w:t> ;</w:t>
            </w:r>
            <w:r>
              <w:rPr>
                <w:rFonts w:cstheme="minorHAnsi"/>
              </w:rPr>
              <w:t xml:space="preserve"> Réunion de cadrage globale </w:t>
            </w:r>
          </w:p>
        </w:tc>
        <w:tc>
          <w:tcPr>
            <w:tcW w:w="2977" w:type="dxa"/>
          </w:tcPr>
          <w:p w:rsidR="00316FA0" w:rsidRPr="001E15D6" w:rsidRDefault="00316FA0" w:rsidP="00E804FF">
            <w:pPr>
              <w:rPr>
                <w:rFonts w:cstheme="minorHAnsi"/>
              </w:rPr>
            </w:pPr>
            <w:r>
              <w:rPr>
                <w:rFonts w:cstheme="minorHAnsi"/>
              </w:rPr>
              <w:t>0</w:t>
            </w:r>
            <w:r w:rsidR="00E804FF">
              <w:rPr>
                <w:rFonts w:cstheme="minorHAnsi"/>
              </w:rPr>
              <w:t>5</w:t>
            </w:r>
            <w:r>
              <w:rPr>
                <w:rFonts w:cstheme="minorHAnsi"/>
              </w:rPr>
              <w:t xml:space="preserve"> - 2022</w:t>
            </w:r>
            <w:r w:rsidRPr="001E15D6">
              <w:rPr>
                <w:rFonts w:cstheme="minorHAnsi"/>
              </w:rPr>
              <w:t xml:space="preserve"> </w:t>
            </w:r>
          </w:p>
        </w:tc>
      </w:tr>
      <w:tr w:rsidR="00316FA0" w:rsidRPr="001E15D6" w:rsidTr="00C142C9">
        <w:tc>
          <w:tcPr>
            <w:tcW w:w="1384" w:type="dxa"/>
            <w:vMerge w:val="restart"/>
          </w:tcPr>
          <w:p w:rsidR="00316FA0" w:rsidRPr="001E15D6" w:rsidRDefault="00316FA0" w:rsidP="00C142C9">
            <w:pPr>
              <w:rPr>
                <w:rFonts w:cstheme="minorHAnsi"/>
              </w:rPr>
            </w:pPr>
            <w:r>
              <w:rPr>
                <w:rFonts w:cstheme="minorHAnsi"/>
              </w:rPr>
              <w:t>Phase 1</w:t>
            </w:r>
          </w:p>
        </w:tc>
        <w:tc>
          <w:tcPr>
            <w:tcW w:w="5670" w:type="dxa"/>
          </w:tcPr>
          <w:p w:rsidR="00316FA0" w:rsidRPr="001E15D6" w:rsidRDefault="00316FA0" w:rsidP="00C142C9">
            <w:pPr>
              <w:rPr>
                <w:rFonts w:cstheme="minorHAnsi"/>
              </w:rPr>
            </w:pPr>
            <w:r w:rsidRPr="001E15D6">
              <w:rPr>
                <w:rFonts w:cstheme="minorHAnsi"/>
              </w:rPr>
              <w:t>Démarrage de la capitalisation</w:t>
            </w:r>
          </w:p>
        </w:tc>
        <w:tc>
          <w:tcPr>
            <w:tcW w:w="2977" w:type="dxa"/>
          </w:tcPr>
          <w:p w:rsidR="00316FA0" w:rsidRPr="001E15D6" w:rsidRDefault="00316FA0" w:rsidP="00E804FF">
            <w:pPr>
              <w:rPr>
                <w:rFonts w:cstheme="minorHAnsi"/>
              </w:rPr>
            </w:pPr>
            <w:r w:rsidRPr="001E15D6">
              <w:rPr>
                <w:rFonts w:cstheme="minorHAnsi"/>
              </w:rPr>
              <w:t>0</w:t>
            </w:r>
            <w:r w:rsidR="00E804FF">
              <w:rPr>
                <w:rFonts w:cstheme="minorHAnsi"/>
              </w:rPr>
              <w:t>6</w:t>
            </w:r>
            <w:r w:rsidRPr="001E15D6">
              <w:rPr>
                <w:rFonts w:cstheme="minorHAnsi"/>
              </w:rPr>
              <w:t>- 2022</w:t>
            </w:r>
          </w:p>
        </w:tc>
      </w:tr>
      <w:tr w:rsidR="00316FA0" w:rsidRPr="001E15D6" w:rsidTr="00C142C9">
        <w:tc>
          <w:tcPr>
            <w:tcW w:w="1384" w:type="dxa"/>
            <w:vMerge/>
          </w:tcPr>
          <w:p w:rsidR="00316FA0" w:rsidRPr="001E15D6" w:rsidRDefault="00316FA0" w:rsidP="00C142C9">
            <w:pPr>
              <w:rPr>
                <w:rFonts w:cstheme="minorHAnsi"/>
              </w:rPr>
            </w:pPr>
          </w:p>
        </w:tc>
        <w:tc>
          <w:tcPr>
            <w:tcW w:w="5670" w:type="dxa"/>
          </w:tcPr>
          <w:p w:rsidR="00316FA0" w:rsidRPr="001E15D6" w:rsidRDefault="00316FA0" w:rsidP="00C142C9">
            <w:pPr>
              <w:ind w:right="459"/>
              <w:rPr>
                <w:rFonts w:cstheme="minorHAnsi"/>
              </w:rPr>
            </w:pPr>
            <w:r w:rsidRPr="001E15D6">
              <w:rPr>
                <w:rFonts w:cstheme="minorHAnsi"/>
              </w:rPr>
              <w:t>Rapport première capitalisation</w:t>
            </w:r>
          </w:p>
        </w:tc>
        <w:tc>
          <w:tcPr>
            <w:tcW w:w="2977" w:type="dxa"/>
          </w:tcPr>
          <w:p w:rsidR="00316FA0" w:rsidRPr="001E15D6" w:rsidRDefault="00316FA0" w:rsidP="00C142C9">
            <w:pPr>
              <w:rPr>
                <w:rFonts w:cstheme="minorHAnsi"/>
              </w:rPr>
            </w:pPr>
            <w:r>
              <w:rPr>
                <w:rFonts w:cstheme="minorHAnsi"/>
              </w:rPr>
              <w:t>12</w:t>
            </w:r>
            <w:r w:rsidRPr="001E15D6">
              <w:rPr>
                <w:rFonts w:cstheme="minorHAnsi"/>
              </w:rPr>
              <w:t>- 202</w:t>
            </w:r>
            <w:r>
              <w:rPr>
                <w:rFonts w:cstheme="minorHAnsi"/>
              </w:rPr>
              <w:t>2</w:t>
            </w:r>
          </w:p>
        </w:tc>
      </w:tr>
      <w:tr w:rsidR="00316FA0" w:rsidRPr="001E15D6" w:rsidTr="00C142C9">
        <w:tc>
          <w:tcPr>
            <w:tcW w:w="1384" w:type="dxa"/>
            <w:vMerge/>
          </w:tcPr>
          <w:p w:rsidR="00316FA0" w:rsidRPr="001E15D6" w:rsidRDefault="00316FA0" w:rsidP="00C142C9">
            <w:pPr>
              <w:rPr>
                <w:rFonts w:cstheme="minorHAnsi"/>
              </w:rPr>
            </w:pPr>
          </w:p>
        </w:tc>
        <w:tc>
          <w:tcPr>
            <w:tcW w:w="5670" w:type="dxa"/>
          </w:tcPr>
          <w:p w:rsidR="00316FA0" w:rsidRPr="001E15D6" w:rsidRDefault="00316FA0" w:rsidP="00C142C9">
            <w:pPr>
              <w:rPr>
                <w:rFonts w:cstheme="minorHAnsi"/>
              </w:rPr>
            </w:pPr>
            <w:r w:rsidRPr="001E15D6">
              <w:rPr>
                <w:rFonts w:cstheme="minorHAnsi"/>
              </w:rPr>
              <w:t>Présentation rapport  au groupe de travail</w:t>
            </w:r>
            <w:r>
              <w:rPr>
                <w:rFonts w:cstheme="minorHAnsi"/>
              </w:rPr>
              <w:t xml:space="preserve"> au comité de pilotage du programme du programme 1 % et en région</w:t>
            </w:r>
          </w:p>
        </w:tc>
        <w:tc>
          <w:tcPr>
            <w:tcW w:w="2977" w:type="dxa"/>
          </w:tcPr>
          <w:p w:rsidR="00316FA0" w:rsidRPr="001E15D6" w:rsidRDefault="00316FA0" w:rsidP="00C142C9">
            <w:pPr>
              <w:rPr>
                <w:rFonts w:cstheme="minorHAnsi"/>
              </w:rPr>
            </w:pPr>
            <w:r>
              <w:rPr>
                <w:rFonts w:cstheme="minorHAnsi"/>
              </w:rPr>
              <w:t>Entre le 01-2023 et 02</w:t>
            </w:r>
            <w:r w:rsidRPr="001E15D6">
              <w:rPr>
                <w:rFonts w:cstheme="minorHAnsi"/>
              </w:rPr>
              <w:t xml:space="preserve">-2023 </w:t>
            </w:r>
          </w:p>
        </w:tc>
      </w:tr>
      <w:tr w:rsidR="00316FA0" w:rsidRPr="001E15D6" w:rsidTr="00C142C9">
        <w:tc>
          <w:tcPr>
            <w:tcW w:w="1384" w:type="dxa"/>
            <w:vMerge w:val="restart"/>
          </w:tcPr>
          <w:p w:rsidR="00316FA0" w:rsidRPr="001E15D6" w:rsidRDefault="00316FA0" w:rsidP="00C142C9">
            <w:pPr>
              <w:rPr>
                <w:rFonts w:cstheme="minorHAnsi"/>
              </w:rPr>
            </w:pPr>
            <w:r>
              <w:rPr>
                <w:rFonts w:cstheme="minorHAnsi"/>
              </w:rPr>
              <w:lastRenderedPageBreak/>
              <w:t xml:space="preserve">Phase 2 </w:t>
            </w:r>
          </w:p>
        </w:tc>
        <w:tc>
          <w:tcPr>
            <w:tcW w:w="5670" w:type="dxa"/>
          </w:tcPr>
          <w:p w:rsidR="00316FA0" w:rsidRPr="001E15D6" w:rsidRDefault="00316FA0" w:rsidP="00C142C9">
            <w:pPr>
              <w:rPr>
                <w:rFonts w:cstheme="minorHAnsi"/>
              </w:rPr>
            </w:pPr>
            <w:r w:rsidRPr="001E15D6">
              <w:rPr>
                <w:rFonts w:cstheme="minorHAnsi"/>
              </w:rPr>
              <w:t>Deuxième capitalisation</w:t>
            </w:r>
          </w:p>
        </w:tc>
        <w:tc>
          <w:tcPr>
            <w:tcW w:w="2977" w:type="dxa"/>
          </w:tcPr>
          <w:p w:rsidR="00316FA0" w:rsidRPr="001E15D6" w:rsidRDefault="00316FA0" w:rsidP="00C142C9">
            <w:pPr>
              <w:rPr>
                <w:rFonts w:cstheme="minorHAnsi"/>
              </w:rPr>
            </w:pPr>
            <w:r>
              <w:rPr>
                <w:rFonts w:cstheme="minorHAnsi"/>
              </w:rPr>
              <w:t>Du 02 2023 au 10-2023</w:t>
            </w:r>
            <w:r w:rsidRPr="001E15D6">
              <w:rPr>
                <w:rFonts w:cstheme="minorHAnsi"/>
              </w:rPr>
              <w:t xml:space="preserve"> </w:t>
            </w:r>
          </w:p>
        </w:tc>
      </w:tr>
      <w:tr w:rsidR="00316FA0" w:rsidRPr="001E15D6" w:rsidTr="00C142C9">
        <w:tc>
          <w:tcPr>
            <w:tcW w:w="1384" w:type="dxa"/>
            <w:vMerge/>
          </w:tcPr>
          <w:p w:rsidR="00316FA0" w:rsidRPr="001E15D6" w:rsidRDefault="00316FA0" w:rsidP="00C142C9">
            <w:pPr>
              <w:rPr>
                <w:rFonts w:cstheme="minorHAnsi"/>
              </w:rPr>
            </w:pPr>
          </w:p>
        </w:tc>
        <w:tc>
          <w:tcPr>
            <w:tcW w:w="5670" w:type="dxa"/>
          </w:tcPr>
          <w:p w:rsidR="00316FA0" w:rsidRPr="001E15D6" w:rsidRDefault="00316FA0" w:rsidP="00C142C9">
            <w:pPr>
              <w:rPr>
                <w:rFonts w:cstheme="minorHAnsi"/>
              </w:rPr>
            </w:pPr>
            <w:r w:rsidRPr="001E15D6">
              <w:rPr>
                <w:rFonts w:cstheme="minorHAnsi"/>
              </w:rPr>
              <w:t xml:space="preserve">Rapport </w:t>
            </w:r>
            <w:r>
              <w:rPr>
                <w:rFonts w:cstheme="minorHAnsi"/>
              </w:rPr>
              <w:t xml:space="preserve">deuxième </w:t>
            </w:r>
            <w:r w:rsidRPr="001E15D6">
              <w:rPr>
                <w:rFonts w:cstheme="minorHAnsi"/>
              </w:rPr>
              <w:t>capitalisation</w:t>
            </w:r>
          </w:p>
        </w:tc>
        <w:tc>
          <w:tcPr>
            <w:tcW w:w="2977" w:type="dxa"/>
          </w:tcPr>
          <w:p w:rsidR="00316FA0" w:rsidRDefault="00316FA0" w:rsidP="00C142C9">
            <w:pPr>
              <w:rPr>
                <w:rFonts w:cstheme="minorHAnsi"/>
              </w:rPr>
            </w:pPr>
            <w:r>
              <w:rPr>
                <w:rFonts w:cstheme="minorHAnsi"/>
              </w:rPr>
              <w:t>Entre le 10 -2023 et le 12-2023</w:t>
            </w:r>
          </w:p>
        </w:tc>
      </w:tr>
      <w:tr w:rsidR="00316FA0" w:rsidRPr="001E15D6" w:rsidTr="00C142C9">
        <w:tc>
          <w:tcPr>
            <w:tcW w:w="1384" w:type="dxa"/>
            <w:vMerge/>
          </w:tcPr>
          <w:p w:rsidR="00316FA0" w:rsidRPr="001E15D6" w:rsidRDefault="00316FA0" w:rsidP="00C142C9">
            <w:pPr>
              <w:rPr>
                <w:rFonts w:cstheme="minorHAnsi"/>
              </w:rPr>
            </w:pPr>
          </w:p>
        </w:tc>
        <w:tc>
          <w:tcPr>
            <w:tcW w:w="5670" w:type="dxa"/>
          </w:tcPr>
          <w:p w:rsidR="00316FA0" w:rsidRPr="001E15D6" w:rsidRDefault="00316FA0" w:rsidP="00C142C9">
            <w:pPr>
              <w:rPr>
                <w:rFonts w:cstheme="minorHAnsi"/>
              </w:rPr>
            </w:pPr>
            <w:r w:rsidRPr="001E15D6">
              <w:rPr>
                <w:rFonts w:cstheme="minorHAnsi"/>
              </w:rPr>
              <w:t>Présentation rapport  au groupe de travail</w:t>
            </w:r>
            <w:r>
              <w:rPr>
                <w:rFonts w:cstheme="minorHAnsi"/>
              </w:rPr>
              <w:t xml:space="preserve"> au comité de pilotage du programme du programme 1 % et en région</w:t>
            </w:r>
          </w:p>
        </w:tc>
        <w:tc>
          <w:tcPr>
            <w:tcW w:w="2977" w:type="dxa"/>
          </w:tcPr>
          <w:p w:rsidR="00316FA0" w:rsidRDefault="00316FA0" w:rsidP="00C142C9">
            <w:pPr>
              <w:rPr>
                <w:rFonts w:cstheme="minorHAnsi"/>
              </w:rPr>
            </w:pPr>
            <w:r>
              <w:rPr>
                <w:rFonts w:cstheme="minorHAnsi"/>
              </w:rPr>
              <w:t>Entre le 10 -2023 et le 12-2023</w:t>
            </w:r>
          </w:p>
        </w:tc>
      </w:tr>
      <w:tr w:rsidR="00316FA0" w:rsidRPr="001E15D6" w:rsidTr="00C142C9">
        <w:tc>
          <w:tcPr>
            <w:tcW w:w="1384" w:type="dxa"/>
            <w:vMerge w:val="restart"/>
          </w:tcPr>
          <w:p w:rsidR="00316FA0" w:rsidRPr="001E15D6" w:rsidRDefault="00316FA0" w:rsidP="00C142C9">
            <w:pPr>
              <w:rPr>
                <w:rFonts w:cstheme="minorHAnsi"/>
              </w:rPr>
            </w:pPr>
            <w:r>
              <w:rPr>
                <w:rFonts w:cstheme="minorHAnsi"/>
              </w:rPr>
              <w:t>Phase 3</w:t>
            </w:r>
          </w:p>
        </w:tc>
        <w:tc>
          <w:tcPr>
            <w:tcW w:w="5670" w:type="dxa"/>
          </w:tcPr>
          <w:p w:rsidR="00316FA0" w:rsidRPr="001E15D6" w:rsidRDefault="00316FA0" w:rsidP="00C142C9">
            <w:pPr>
              <w:rPr>
                <w:rFonts w:cstheme="minorHAnsi"/>
              </w:rPr>
            </w:pPr>
            <w:r w:rsidRPr="001E15D6">
              <w:rPr>
                <w:rFonts w:cstheme="minorHAnsi"/>
              </w:rPr>
              <w:t xml:space="preserve">Démarrage troisième capitalisation </w:t>
            </w:r>
          </w:p>
        </w:tc>
        <w:tc>
          <w:tcPr>
            <w:tcW w:w="2977" w:type="dxa"/>
          </w:tcPr>
          <w:p w:rsidR="00316FA0" w:rsidRPr="001E15D6" w:rsidRDefault="00316FA0" w:rsidP="00C142C9">
            <w:pPr>
              <w:rPr>
                <w:rFonts w:cstheme="minorHAnsi"/>
              </w:rPr>
            </w:pPr>
            <w:r>
              <w:rPr>
                <w:rFonts w:cstheme="minorHAnsi"/>
              </w:rPr>
              <w:t>10</w:t>
            </w:r>
            <w:r w:rsidRPr="001E15D6">
              <w:rPr>
                <w:rFonts w:cstheme="minorHAnsi"/>
              </w:rPr>
              <w:t>-2023</w:t>
            </w:r>
          </w:p>
        </w:tc>
      </w:tr>
      <w:tr w:rsidR="00316FA0" w:rsidRPr="001E15D6" w:rsidTr="00C142C9">
        <w:tc>
          <w:tcPr>
            <w:tcW w:w="1384" w:type="dxa"/>
            <w:vMerge/>
          </w:tcPr>
          <w:p w:rsidR="00316FA0" w:rsidRPr="001E15D6" w:rsidRDefault="00316FA0" w:rsidP="00C142C9">
            <w:pPr>
              <w:rPr>
                <w:rFonts w:cstheme="minorHAnsi"/>
              </w:rPr>
            </w:pPr>
          </w:p>
        </w:tc>
        <w:tc>
          <w:tcPr>
            <w:tcW w:w="5670" w:type="dxa"/>
          </w:tcPr>
          <w:p w:rsidR="00316FA0" w:rsidRPr="001E15D6" w:rsidRDefault="00316FA0" w:rsidP="00C142C9">
            <w:pPr>
              <w:rPr>
                <w:rFonts w:cstheme="minorHAnsi"/>
              </w:rPr>
            </w:pPr>
            <w:r w:rsidRPr="001E15D6">
              <w:rPr>
                <w:rFonts w:cstheme="minorHAnsi"/>
              </w:rPr>
              <w:t xml:space="preserve">Remise des documents </w:t>
            </w:r>
          </w:p>
        </w:tc>
        <w:tc>
          <w:tcPr>
            <w:tcW w:w="2977" w:type="dxa"/>
          </w:tcPr>
          <w:p w:rsidR="00316FA0" w:rsidRPr="001E15D6" w:rsidRDefault="00316FA0" w:rsidP="00C142C9">
            <w:pPr>
              <w:rPr>
                <w:rFonts w:cstheme="minorHAnsi"/>
              </w:rPr>
            </w:pPr>
            <w:r>
              <w:rPr>
                <w:rFonts w:cstheme="minorHAnsi"/>
              </w:rPr>
              <w:t>04</w:t>
            </w:r>
            <w:r w:rsidRPr="001E15D6">
              <w:rPr>
                <w:rFonts w:cstheme="minorHAnsi"/>
              </w:rPr>
              <w:t>-2024</w:t>
            </w:r>
          </w:p>
        </w:tc>
      </w:tr>
      <w:tr w:rsidR="00316FA0" w:rsidRPr="001E15D6" w:rsidTr="00C142C9">
        <w:tc>
          <w:tcPr>
            <w:tcW w:w="1384" w:type="dxa"/>
            <w:vMerge/>
          </w:tcPr>
          <w:p w:rsidR="00316FA0" w:rsidRPr="001E15D6" w:rsidRDefault="00316FA0" w:rsidP="00C142C9">
            <w:pPr>
              <w:rPr>
                <w:rFonts w:cstheme="minorHAnsi"/>
              </w:rPr>
            </w:pPr>
          </w:p>
        </w:tc>
        <w:tc>
          <w:tcPr>
            <w:tcW w:w="5670" w:type="dxa"/>
          </w:tcPr>
          <w:p w:rsidR="00316FA0" w:rsidRPr="001E15D6" w:rsidRDefault="00316FA0" w:rsidP="00C142C9">
            <w:pPr>
              <w:rPr>
                <w:rFonts w:cstheme="minorHAnsi"/>
              </w:rPr>
            </w:pPr>
            <w:r w:rsidRPr="001E15D6">
              <w:rPr>
                <w:rFonts w:cstheme="minorHAnsi"/>
              </w:rPr>
              <w:t>Présentation rapport  au groupe de travail</w:t>
            </w:r>
            <w:r>
              <w:rPr>
                <w:rFonts w:cstheme="minorHAnsi"/>
              </w:rPr>
              <w:t xml:space="preserve"> au comité de pilotage du programme du programme 1 % et en région</w:t>
            </w:r>
          </w:p>
        </w:tc>
        <w:tc>
          <w:tcPr>
            <w:tcW w:w="2977" w:type="dxa"/>
          </w:tcPr>
          <w:p w:rsidR="00316FA0" w:rsidRDefault="00316FA0" w:rsidP="00C142C9">
            <w:pPr>
              <w:rPr>
                <w:rFonts w:cstheme="minorHAnsi"/>
              </w:rPr>
            </w:pPr>
            <w:r>
              <w:rPr>
                <w:rFonts w:cstheme="minorHAnsi"/>
              </w:rPr>
              <w:t>04</w:t>
            </w:r>
            <w:r w:rsidRPr="001E15D6">
              <w:rPr>
                <w:rFonts w:cstheme="minorHAnsi"/>
              </w:rPr>
              <w:t>-2024</w:t>
            </w:r>
          </w:p>
        </w:tc>
      </w:tr>
      <w:tr w:rsidR="00316FA0" w:rsidRPr="001E15D6" w:rsidTr="00C142C9">
        <w:tc>
          <w:tcPr>
            <w:tcW w:w="1384" w:type="dxa"/>
            <w:vMerge/>
          </w:tcPr>
          <w:p w:rsidR="00316FA0" w:rsidRPr="001E15D6" w:rsidRDefault="00316FA0" w:rsidP="00C142C9">
            <w:pPr>
              <w:rPr>
                <w:rFonts w:cstheme="minorHAnsi"/>
              </w:rPr>
            </w:pPr>
          </w:p>
        </w:tc>
        <w:tc>
          <w:tcPr>
            <w:tcW w:w="5670" w:type="dxa"/>
          </w:tcPr>
          <w:p w:rsidR="00316FA0" w:rsidRPr="001E15D6" w:rsidRDefault="00316FA0" w:rsidP="00C142C9">
            <w:pPr>
              <w:rPr>
                <w:rFonts w:cstheme="minorHAnsi"/>
              </w:rPr>
            </w:pPr>
            <w:r w:rsidRPr="001E15D6">
              <w:rPr>
                <w:rFonts w:cstheme="minorHAnsi"/>
              </w:rPr>
              <w:t>Restitution élargie</w:t>
            </w:r>
            <w:r>
              <w:rPr>
                <w:rFonts w:cstheme="minorHAnsi"/>
              </w:rPr>
              <w:t xml:space="preserve"> des trois capitalisations</w:t>
            </w:r>
          </w:p>
        </w:tc>
        <w:tc>
          <w:tcPr>
            <w:tcW w:w="2977" w:type="dxa"/>
          </w:tcPr>
          <w:p w:rsidR="00316FA0" w:rsidRPr="001E15D6" w:rsidRDefault="00316FA0" w:rsidP="00C142C9">
            <w:pPr>
              <w:rPr>
                <w:rFonts w:cstheme="minorHAnsi"/>
              </w:rPr>
            </w:pPr>
            <w:r w:rsidRPr="001E15D6">
              <w:rPr>
                <w:rFonts w:cstheme="minorHAnsi"/>
              </w:rPr>
              <w:t>0</w:t>
            </w:r>
            <w:r>
              <w:rPr>
                <w:rFonts w:cstheme="minorHAnsi"/>
              </w:rPr>
              <w:t>5</w:t>
            </w:r>
            <w:r w:rsidRPr="001E15D6">
              <w:rPr>
                <w:rFonts w:cstheme="minorHAnsi"/>
              </w:rPr>
              <w:t>-2024</w:t>
            </w:r>
          </w:p>
        </w:tc>
      </w:tr>
    </w:tbl>
    <w:p w:rsidR="00316FA0" w:rsidRDefault="00316FA0" w:rsidP="00AE2BA4">
      <w:pPr>
        <w:rPr>
          <w:rFonts w:cstheme="minorHAnsi"/>
        </w:rPr>
      </w:pPr>
    </w:p>
    <w:p w:rsidR="00316FA0" w:rsidRPr="001E15D6" w:rsidRDefault="00316FA0" w:rsidP="00AE2BA4">
      <w:pPr>
        <w:rPr>
          <w:rFonts w:cstheme="minorHAnsi"/>
        </w:rPr>
      </w:pPr>
    </w:p>
    <w:p w:rsidR="00BE3AD0" w:rsidRPr="001E15D6" w:rsidRDefault="00A27C71" w:rsidP="00BE3AD0">
      <w:pPr>
        <w:rPr>
          <w:rFonts w:cstheme="minorHAnsi"/>
        </w:rPr>
      </w:pPr>
      <w:r>
        <w:rPr>
          <w:rFonts w:cstheme="minorHAnsi"/>
        </w:rPr>
        <w:t xml:space="preserve">Paris le </w:t>
      </w:r>
      <w:r w:rsidR="00E804FF">
        <w:rPr>
          <w:rFonts w:cstheme="minorHAnsi"/>
        </w:rPr>
        <w:t>16 mars</w:t>
      </w:r>
      <w:r w:rsidR="001B2B28">
        <w:rPr>
          <w:rFonts w:cstheme="minorHAnsi"/>
        </w:rPr>
        <w:t xml:space="preserve"> </w:t>
      </w:r>
      <w:r>
        <w:rPr>
          <w:rFonts w:cstheme="minorHAnsi"/>
        </w:rPr>
        <w:t xml:space="preserve"> 2022</w:t>
      </w:r>
    </w:p>
    <w:sectPr w:rsidR="00BE3AD0" w:rsidRPr="001E15D6" w:rsidSect="00EC6A69">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36A" w:rsidRDefault="0080036A" w:rsidP="00960CBD">
      <w:pPr>
        <w:spacing w:after="0" w:line="240" w:lineRule="auto"/>
      </w:pPr>
      <w:r>
        <w:separator/>
      </w:r>
    </w:p>
  </w:endnote>
  <w:endnote w:type="continuationSeparator" w:id="0">
    <w:p w:rsidR="0080036A" w:rsidRDefault="0080036A" w:rsidP="00960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Lt BT">
    <w:altName w:val="Segoe UI Semilight"/>
    <w:panose1 w:val="020B0402020204020303"/>
    <w:charset w:val="00"/>
    <w:family w:val="swiss"/>
    <w:pitch w:val="variable"/>
    <w:sig w:usb0="800000AF" w:usb1="1000204A" w:usb2="00000000" w:usb3="00000000" w:csb0="0000001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2598578"/>
      <w:docPartObj>
        <w:docPartGallery w:val="Page Numbers (Bottom of Page)"/>
        <w:docPartUnique/>
      </w:docPartObj>
    </w:sdtPr>
    <w:sdtEndPr/>
    <w:sdtContent>
      <w:p w:rsidR="006A794C" w:rsidRDefault="0080036A">
        <w:pPr>
          <w:pStyle w:val="Pieddepage"/>
          <w:jc w:val="right"/>
        </w:pPr>
        <w:r>
          <w:fldChar w:fldCharType="begin"/>
        </w:r>
        <w:r>
          <w:instrText>PAGE   \* MERGEFORMAT</w:instrText>
        </w:r>
        <w:r>
          <w:fldChar w:fldCharType="separate"/>
        </w:r>
        <w:r w:rsidR="007C7C91">
          <w:rPr>
            <w:noProof/>
          </w:rPr>
          <w:t>11</w:t>
        </w:r>
        <w:r>
          <w:rPr>
            <w:noProof/>
          </w:rPr>
          <w:fldChar w:fldCharType="end"/>
        </w:r>
      </w:p>
    </w:sdtContent>
  </w:sdt>
  <w:p w:rsidR="006A794C" w:rsidRDefault="006A794C">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36A" w:rsidRDefault="0080036A" w:rsidP="00960CBD">
      <w:pPr>
        <w:spacing w:after="0" w:line="240" w:lineRule="auto"/>
      </w:pPr>
      <w:r>
        <w:separator/>
      </w:r>
    </w:p>
  </w:footnote>
  <w:footnote w:type="continuationSeparator" w:id="0">
    <w:p w:rsidR="0080036A" w:rsidRDefault="0080036A" w:rsidP="00960CBD">
      <w:pPr>
        <w:spacing w:after="0" w:line="240" w:lineRule="auto"/>
      </w:pPr>
      <w:r>
        <w:continuationSeparator/>
      </w:r>
    </w:p>
  </w:footnote>
  <w:footnote w:id="1">
    <w:p w:rsidR="006A794C" w:rsidRPr="002467E6" w:rsidRDefault="006A794C" w:rsidP="00F55B7A">
      <w:pPr>
        <w:pStyle w:val="Notedebasdepage"/>
        <w:rPr>
          <w:lang w:val="en-US"/>
        </w:rPr>
      </w:pPr>
      <w:r>
        <w:rPr>
          <w:rStyle w:val="Appelnotedebasdep"/>
        </w:rPr>
        <w:footnoteRef/>
      </w:r>
      <w:r w:rsidRPr="002467E6">
        <w:rPr>
          <w:lang w:val="en-US"/>
        </w:rPr>
        <w:t xml:space="preserve"> UNICEF/OMS, Progress on drinking water, sanitation and hygiene: 2000-2017: Special focus on inequalities, 2017</w:t>
      </w:r>
    </w:p>
  </w:footnote>
  <w:footnote w:id="2">
    <w:p w:rsidR="006A794C" w:rsidRDefault="006A794C" w:rsidP="00F55B7A">
      <w:pPr>
        <w:pStyle w:val="Notedebasdepage"/>
      </w:pPr>
      <w:r>
        <w:rPr>
          <w:rStyle w:val="Appelnotedebasdep"/>
        </w:rPr>
        <w:footnoteRef/>
      </w:r>
      <w:r>
        <w:t xml:space="preserve"> </w:t>
      </w:r>
      <w:hyperlink r:id="rId1" w:history="1">
        <w:r>
          <w:rPr>
            <w:rStyle w:val="Lienhypertexte"/>
          </w:rPr>
          <w:t>Accès à l’électricité (% de la population) | Data (banquemondiale.org)</w:t>
        </w:r>
      </w:hyperlink>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94C" w:rsidRDefault="006A794C">
    <w:pPr>
      <w:pStyle w:val="En-tte"/>
    </w:pPr>
    <w:r>
      <w:rPr>
        <w:noProof/>
        <w:lang w:eastAsia="fr-FR"/>
      </w:rPr>
      <w:drawing>
        <wp:anchor distT="0" distB="0" distL="114300" distR="114300" simplePos="0" relativeHeight="251661312" behindDoc="1" locked="0" layoutInCell="1" allowOverlap="1">
          <wp:simplePos x="0" y="0"/>
          <wp:positionH relativeFrom="margin">
            <wp:align>right</wp:align>
          </wp:positionH>
          <wp:positionV relativeFrom="paragraph">
            <wp:posOffset>-182880</wp:posOffset>
          </wp:positionV>
          <wp:extent cx="1645920" cy="436245"/>
          <wp:effectExtent l="0" t="0" r="0" b="1905"/>
          <wp:wrapTight wrapText="bothSides">
            <wp:wrapPolygon edited="0">
              <wp:start x="0" y="0"/>
              <wp:lineTo x="0" y="20751"/>
              <wp:lineTo x="21250" y="20751"/>
              <wp:lineTo x="21250" y="0"/>
              <wp:lineTo x="0" y="0"/>
            </wp:wrapPolygon>
          </wp:wrapTight>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645920" cy="436245"/>
                  </a:xfrm>
                  <a:prstGeom prst="rect">
                    <a:avLst/>
                  </a:prstGeom>
                </pic:spPr>
              </pic:pic>
            </a:graphicData>
          </a:graphic>
        </wp:anchor>
      </w:drawing>
    </w:r>
    <w:r>
      <w:rPr>
        <w:noProof/>
        <w:lang w:eastAsia="fr-FR"/>
      </w:rPr>
      <w:drawing>
        <wp:anchor distT="0" distB="0" distL="114300" distR="114300" simplePos="0" relativeHeight="251658240" behindDoc="1" locked="0" layoutInCell="1" allowOverlap="1">
          <wp:simplePos x="0" y="0"/>
          <wp:positionH relativeFrom="margin">
            <wp:posOffset>2689860</wp:posOffset>
          </wp:positionH>
          <wp:positionV relativeFrom="paragraph">
            <wp:posOffset>-256540</wp:posOffset>
          </wp:positionV>
          <wp:extent cx="985520" cy="608965"/>
          <wp:effectExtent l="0" t="0" r="5080" b="635"/>
          <wp:wrapTight wrapText="bothSides">
            <wp:wrapPolygon edited="0">
              <wp:start x="0" y="0"/>
              <wp:lineTo x="0" y="20947"/>
              <wp:lineTo x="21294" y="20947"/>
              <wp:lineTo x="21294"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
                    <a:extLst>
                      <a:ext uri="{28A0092B-C50C-407E-A947-70E740481C1C}">
                        <a14:useLocalDpi xmlns:a14="http://schemas.microsoft.com/office/drawing/2010/main" val="0"/>
                      </a:ext>
                    </a:extLst>
                  </a:blip>
                  <a:stretch>
                    <a:fillRect/>
                  </a:stretch>
                </pic:blipFill>
                <pic:spPr>
                  <a:xfrm>
                    <a:off x="0" y="0"/>
                    <a:ext cx="985520" cy="608965"/>
                  </a:xfrm>
                  <a:prstGeom prst="rect">
                    <a:avLst/>
                  </a:prstGeom>
                </pic:spPr>
              </pic:pic>
            </a:graphicData>
          </a:graphic>
        </wp:anchor>
      </w:drawing>
    </w:r>
    <w:r>
      <w:rPr>
        <w:noProof/>
        <w:lang w:eastAsia="fr-FR"/>
      </w:rPr>
      <w:drawing>
        <wp:anchor distT="0" distB="0" distL="114300" distR="114300" simplePos="0" relativeHeight="251659264" behindDoc="1" locked="0" layoutInCell="1" allowOverlap="1">
          <wp:simplePos x="0" y="0"/>
          <wp:positionH relativeFrom="column">
            <wp:posOffset>1134745</wp:posOffset>
          </wp:positionH>
          <wp:positionV relativeFrom="paragraph">
            <wp:posOffset>-205740</wp:posOffset>
          </wp:positionV>
          <wp:extent cx="1303020" cy="487680"/>
          <wp:effectExtent l="0" t="0" r="0" b="7620"/>
          <wp:wrapTight wrapText="bothSides">
            <wp:wrapPolygon edited="0">
              <wp:start x="0" y="0"/>
              <wp:lineTo x="0" y="21094"/>
              <wp:lineTo x="21158" y="21094"/>
              <wp:lineTo x="21158"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a:extLst>
                      <a:ext uri="{28A0092B-C50C-407E-A947-70E740481C1C}">
                        <a14:useLocalDpi xmlns:a14="http://schemas.microsoft.com/office/drawing/2010/main" val="0"/>
                      </a:ext>
                    </a:extLst>
                  </a:blip>
                  <a:stretch>
                    <a:fillRect/>
                  </a:stretch>
                </pic:blipFill>
                <pic:spPr>
                  <a:xfrm>
                    <a:off x="0" y="0"/>
                    <a:ext cx="1303020" cy="487680"/>
                  </a:xfrm>
                  <a:prstGeom prst="rect">
                    <a:avLst/>
                  </a:prstGeom>
                </pic:spPr>
              </pic:pic>
            </a:graphicData>
          </a:graphic>
        </wp:anchor>
      </w:drawing>
    </w:r>
    <w:r>
      <w:rPr>
        <w:noProof/>
        <w:lang w:eastAsia="fr-FR"/>
      </w:rPr>
      <w:drawing>
        <wp:anchor distT="0" distB="0" distL="114300" distR="114300" simplePos="0" relativeHeight="251660288" behindDoc="1" locked="0" layoutInCell="1" allowOverlap="1">
          <wp:simplePos x="0" y="0"/>
          <wp:positionH relativeFrom="column">
            <wp:posOffset>-320675</wp:posOffset>
          </wp:positionH>
          <wp:positionV relativeFrom="paragraph">
            <wp:posOffset>-274320</wp:posOffset>
          </wp:positionV>
          <wp:extent cx="1145540" cy="647700"/>
          <wp:effectExtent l="0" t="0" r="0" b="0"/>
          <wp:wrapTight wrapText="bothSides">
            <wp:wrapPolygon edited="0">
              <wp:start x="0" y="0"/>
              <wp:lineTo x="0" y="20965"/>
              <wp:lineTo x="21193" y="20965"/>
              <wp:lineTo x="21193"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a:extLst>
                      <a:ext uri="{28A0092B-C50C-407E-A947-70E740481C1C}">
                        <a14:useLocalDpi xmlns:a14="http://schemas.microsoft.com/office/drawing/2010/main" val="0"/>
                      </a:ext>
                    </a:extLst>
                  </a:blip>
                  <a:stretch>
                    <a:fillRect/>
                  </a:stretch>
                </pic:blipFill>
                <pic:spPr>
                  <a:xfrm>
                    <a:off x="0" y="0"/>
                    <a:ext cx="1145540" cy="6477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66EBB"/>
    <w:multiLevelType w:val="hybridMultilevel"/>
    <w:tmpl w:val="A080CC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644501"/>
    <w:multiLevelType w:val="multilevel"/>
    <w:tmpl w:val="18AA9522"/>
    <w:lvl w:ilvl="0">
      <w:start w:val="3"/>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D236C40"/>
    <w:multiLevelType w:val="multilevel"/>
    <w:tmpl w:val="0B0646D6"/>
    <w:lvl w:ilvl="0">
      <w:start w:val="1"/>
      <w:numFmt w:val="decimal"/>
      <w:lvlText w:val="%1.2"/>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5D45DF1"/>
    <w:multiLevelType w:val="hybridMultilevel"/>
    <w:tmpl w:val="6264035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26762B23"/>
    <w:multiLevelType w:val="hybridMultilevel"/>
    <w:tmpl w:val="6F6887D8"/>
    <w:lvl w:ilvl="0" w:tplc="0E2035B2">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8C13F5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7DD48FF"/>
    <w:multiLevelType w:val="hybridMultilevel"/>
    <w:tmpl w:val="4BD6C6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D3A2B4C"/>
    <w:multiLevelType w:val="multilevel"/>
    <w:tmpl w:val="7AFCBCEC"/>
    <w:lvl w:ilvl="0">
      <w:start w:val="1"/>
      <w:numFmt w:val="decimal"/>
      <w:lvlText w:val="%1."/>
      <w:lvlJc w:val="left"/>
      <w:pPr>
        <w:ind w:left="360" w:hanging="360"/>
      </w:p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663DDA"/>
    <w:multiLevelType w:val="hybridMultilevel"/>
    <w:tmpl w:val="7A94DCCE"/>
    <w:lvl w:ilvl="0" w:tplc="63A66BD0">
      <w:start w:val="1"/>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427B3B87"/>
    <w:multiLevelType w:val="hybridMultilevel"/>
    <w:tmpl w:val="A2B238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9F618B4"/>
    <w:multiLevelType w:val="hybridMultilevel"/>
    <w:tmpl w:val="D7789004"/>
    <w:lvl w:ilvl="0" w:tplc="DC901180">
      <w:start w:val="1"/>
      <w:numFmt w:val="bullet"/>
      <w:lvlText w:val="-"/>
      <w:lvlJc w:val="left"/>
      <w:pPr>
        <w:ind w:left="1080" w:hanging="360"/>
      </w:pPr>
      <w:rPr>
        <w:rFonts w:ascii="Calibri" w:eastAsiaTheme="minorHAnsi" w:hAnsi="Calibri" w:cs="Calibri" w:hint="default"/>
      </w:rPr>
    </w:lvl>
    <w:lvl w:ilvl="1" w:tplc="99CC9A88" w:tentative="1">
      <w:start w:val="1"/>
      <w:numFmt w:val="bullet"/>
      <w:lvlText w:val="o"/>
      <w:lvlJc w:val="left"/>
      <w:pPr>
        <w:ind w:left="1800" w:hanging="360"/>
      </w:pPr>
      <w:rPr>
        <w:rFonts w:ascii="Courier New" w:hAnsi="Courier New" w:cs="Courier New" w:hint="default"/>
      </w:rPr>
    </w:lvl>
    <w:lvl w:ilvl="2" w:tplc="CFA47558" w:tentative="1">
      <w:start w:val="1"/>
      <w:numFmt w:val="bullet"/>
      <w:lvlText w:val=""/>
      <w:lvlJc w:val="left"/>
      <w:pPr>
        <w:ind w:left="2520" w:hanging="360"/>
      </w:pPr>
      <w:rPr>
        <w:rFonts w:ascii="Wingdings" w:hAnsi="Wingdings" w:hint="default"/>
      </w:rPr>
    </w:lvl>
    <w:lvl w:ilvl="3" w:tplc="180E11CC" w:tentative="1">
      <w:start w:val="1"/>
      <w:numFmt w:val="bullet"/>
      <w:lvlText w:val=""/>
      <w:lvlJc w:val="left"/>
      <w:pPr>
        <w:ind w:left="3240" w:hanging="360"/>
      </w:pPr>
      <w:rPr>
        <w:rFonts w:ascii="Symbol" w:hAnsi="Symbol" w:hint="default"/>
      </w:rPr>
    </w:lvl>
    <w:lvl w:ilvl="4" w:tplc="FF727CE4" w:tentative="1">
      <w:start w:val="1"/>
      <w:numFmt w:val="bullet"/>
      <w:lvlText w:val="o"/>
      <w:lvlJc w:val="left"/>
      <w:pPr>
        <w:ind w:left="3960" w:hanging="360"/>
      </w:pPr>
      <w:rPr>
        <w:rFonts w:ascii="Courier New" w:hAnsi="Courier New" w:cs="Courier New" w:hint="default"/>
      </w:rPr>
    </w:lvl>
    <w:lvl w:ilvl="5" w:tplc="AE9C042E" w:tentative="1">
      <w:start w:val="1"/>
      <w:numFmt w:val="bullet"/>
      <w:lvlText w:val=""/>
      <w:lvlJc w:val="left"/>
      <w:pPr>
        <w:ind w:left="4680" w:hanging="360"/>
      </w:pPr>
      <w:rPr>
        <w:rFonts w:ascii="Wingdings" w:hAnsi="Wingdings" w:hint="default"/>
      </w:rPr>
    </w:lvl>
    <w:lvl w:ilvl="6" w:tplc="D5AEEE30" w:tentative="1">
      <w:start w:val="1"/>
      <w:numFmt w:val="bullet"/>
      <w:lvlText w:val=""/>
      <w:lvlJc w:val="left"/>
      <w:pPr>
        <w:ind w:left="5400" w:hanging="360"/>
      </w:pPr>
      <w:rPr>
        <w:rFonts w:ascii="Symbol" w:hAnsi="Symbol" w:hint="default"/>
      </w:rPr>
    </w:lvl>
    <w:lvl w:ilvl="7" w:tplc="43C2B8FC" w:tentative="1">
      <w:start w:val="1"/>
      <w:numFmt w:val="bullet"/>
      <w:lvlText w:val="o"/>
      <w:lvlJc w:val="left"/>
      <w:pPr>
        <w:ind w:left="6120" w:hanging="360"/>
      </w:pPr>
      <w:rPr>
        <w:rFonts w:ascii="Courier New" w:hAnsi="Courier New" w:cs="Courier New" w:hint="default"/>
      </w:rPr>
    </w:lvl>
    <w:lvl w:ilvl="8" w:tplc="277C08F4" w:tentative="1">
      <w:start w:val="1"/>
      <w:numFmt w:val="bullet"/>
      <w:lvlText w:val=""/>
      <w:lvlJc w:val="left"/>
      <w:pPr>
        <w:ind w:left="6840" w:hanging="360"/>
      </w:pPr>
      <w:rPr>
        <w:rFonts w:ascii="Wingdings" w:hAnsi="Wingdings" w:hint="default"/>
      </w:rPr>
    </w:lvl>
  </w:abstractNum>
  <w:abstractNum w:abstractNumId="11" w15:restartNumberingAfterBreak="0">
    <w:nsid w:val="5C8059A8"/>
    <w:multiLevelType w:val="hybridMultilevel"/>
    <w:tmpl w:val="A83CA0D6"/>
    <w:lvl w:ilvl="0" w:tplc="BACE122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08273AA"/>
    <w:multiLevelType w:val="multilevel"/>
    <w:tmpl w:val="C318ECC2"/>
    <w:styleLink w:val="Style1"/>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3"/>
  </w:num>
  <w:num w:numId="3">
    <w:abstractNumId w:val="8"/>
  </w:num>
  <w:num w:numId="4">
    <w:abstractNumId w:val="4"/>
  </w:num>
  <w:num w:numId="5">
    <w:abstractNumId w:val="9"/>
  </w:num>
  <w:num w:numId="6">
    <w:abstractNumId w:val="10"/>
  </w:num>
  <w:num w:numId="7">
    <w:abstractNumId w:val="0"/>
  </w:num>
  <w:num w:numId="8">
    <w:abstractNumId w:val="5"/>
  </w:num>
  <w:num w:numId="9">
    <w:abstractNumId w:val="12"/>
  </w:num>
  <w:num w:numId="10">
    <w:abstractNumId w:val="7"/>
  </w:num>
  <w:num w:numId="11">
    <w:abstractNumId w:val="2"/>
  </w:num>
  <w:num w:numId="12">
    <w:abstractNumId w:val="2"/>
    <w:lvlOverride w:ilvl="0">
      <w:lvl w:ilvl="0">
        <w:start w:val="1"/>
        <w:numFmt w:val="decimal"/>
        <w:lvlText w:val="%1.2"/>
        <w:lvlJc w:val="left"/>
        <w:pPr>
          <w:ind w:left="360" w:hanging="360"/>
        </w:pPr>
        <w:rPr>
          <w:rFonts w:hint="default"/>
        </w:rPr>
      </w:lvl>
    </w:lvlOverride>
    <w:lvlOverride w:ilvl="1">
      <w:lvl w:ilvl="1">
        <w:start w:val="1"/>
        <w:numFmt w:val="none"/>
        <w:lvlText w:val="3.3."/>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abstractNumId w:val="2"/>
    <w:lvlOverride w:ilvl="0">
      <w:lvl w:ilvl="0">
        <w:start w:val="1"/>
        <w:numFmt w:val="decimal"/>
        <w:lvlText w:val="%1.2"/>
        <w:lvlJc w:val="left"/>
        <w:pPr>
          <w:ind w:left="360" w:hanging="360"/>
        </w:pPr>
        <w:rPr>
          <w:rFonts w:hint="default"/>
        </w:rPr>
      </w:lvl>
    </w:lvlOverride>
    <w:lvlOverride w:ilvl="1">
      <w:lvl w:ilvl="1">
        <w:start w:val="1"/>
        <w:numFmt w:val="none"/>
        <w:lvlText w:val="3.4."/>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abstractNumId w:val="11"/>
  </w:num>
  <w:num w:numId="15">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CBD"/>
    <w:rsid w:val="00013B14"/>
    <w:rsid w:val="00022286"/>
    <w:rsid w:val="000357E5"/>
    <w:rsid w:val="0005078F"/>
    <w:rsid w:val="0009711D"/>
    <w:rsid w:val="000C18FD"/>
    <w:rsid w:val="00121572"/>
    <w:rsid w:val="00142926"/>
    <w:rsid w:val="00144944"/>
    <w:rsid w:val="00161663"/>
    <w:rsid w:val="00165665"/>
    <w:rsid w:val="0018389C"/>
    <w:rsid w:val="00196402"/>
    <w:rsid w:val="001B2009"/>
    <w:rsid w:val="001B2B28"/>
    <w:rsid w:val="001D0AD9"/>
    <w:rsid w:val="001E15D6"/>
    <w:rsid w:val="001F32FB"/>
    <w:rsid w:val="00234AE6"/>
    <w:rsid w:val="00274C38"/>
    <w:rsid w:val="002A015A"/>
    <w:rsid w:val="002C68C8"/>
    <w:rsid w:val="00316FA0"/>
    <w:rsid w:val="00376BB6"/>
    <w:rsid w:val="0038561F"/>
    <w:rsid w:val="003D1F10"/>
    <w:rsid w:val="003D6E57"/>
    <w:rsid w:val="003E1817"/>
    <w:rsid w:val="00401862"/>
    <w:rsid w:val="004108AB"/>
    <w:rsid w:val="00421EFA"/>
    <w:rsid w:val="00426247"/>
    <w:rsid w:val="004865EF"/>
    <w:rsid w:val="004E4840"/>
    <w:rsid w:val="00542D89"/>
    <w:rsid w:val="00542DE9"/>
    <w:rsid w:val="00543510"/>
    <w:rsid w:val="00547CA1"/>
    <w:rsid w:val="005923FA"/>
    <w:rsid w:val="005B3144"/>
    <w:rsid w:val="005B4E07"/>
    <w:rsid w:val="00601EF3"/>
    <w:rsid w:val="006210CF"/>
    <w:rsid w:val="006351E7"/>
    <w:rsid w:val="00677341"/>
    <w:rsid w:val="006A794C"/>
    <w:rsid w:val="006B07B8"/>
    <w:rsid w:val="00712A88"/>
    <w:rsid w:val="00714C0A"/>
    <w:rsid w:val="007956D5"/>
    <w:rsid w:val="007C7C91"/>
    <w:rsid w:val="007D7EDD"/>
    <w:rsid w:val="0080036A"/>
    <w:rsid w:val="00801A52"/>
    <w:rsid w:val="008075E5"/>
    <w:rsid w:val="00845E66"/>
    <w:rsid w:val="008637B6"/>
    <w:rsid w:val="0088252A"/>
    <w:rsid w:val="008B6B65"/>
    <w:rsid w:val="0094723F"/>
    <w:rsid w:val="0095370C"/>
    <w:rsid w:val="0095401A"/>
    <w:rsid w:val="00960CBD"/>
    <w:rsid w:val="009E211A"/>
    <w:rsid w:val="009F0909"/>
    <w:rsid w:val="00A1569B"/>
    <w:rsid w:val="00A21E41"/>
    <w:rsid w:val="00A27C71"/>
    <w:rsid w:val="00A35A46"/>
    <w:rsid w:val="00A56A3B"/>
    <w:rsid w:val="00A91C57"/>
    <w:rsid w:val="00A94D1F"/>
    <w:rsid w:val="00AA72C9"/>
    <w:rsid w:val="00AB20A4"/>
    <w:rsid w:val="00AC285B"/>
    <w:rsid w:val="00AC43D1"/>
    <w:rsid w:val="00AE2BA4"/>
    <w:rsid w:val="00AF7604"/>
    <w:rsid w:val="00B135BE"/>
    <w:rsid w:val="00B41091"/>
    <w:rsid w:val="00B929CE"/>
    <w:rsid w:val="00BA254E"/>
    <w:rsid w:val="00BA4D68"/>
    <w:rsid w:val="00BB0B93"/>
    <w:rsid w:val="00BB265E"/>
    <w:rsid w:val="00BB662D"/>
    <w:rsid w:val="00BE3AD0"/>
    <w:rsid w:val="00BF6034"/>
    <w:rsid w:val="00C142C9"/>
    <w:rsid w:val="00C21136"/>
    <w:rsid w:val="00C40FE6"/>
    <w:rsid w:val="00C57691"/>
    <w:rsid w:val="00C925B6"/>
    <w:rsid w:val="00CA2F36"/>
    <w:rsid w:val="00CC5B43"/>
    <w:rsid w:val="00CE39C8"/>
    <w:rsid w:val="00CF2E3C"/>
    <w:rsid w:val="00D1471F"/>
    <w:rsid w:val="00D34168"/>
    <w:rsid w:val="00D8422D"/>
    <w:rsid w:val="00DE624D"/>
    <w:rsid w:val="00E05A13"/>
    <w:rsid w:val="00E24F0D"/>
    <w:rsid w:val="00E2600B"/>
    <w:rsid w:val="00E804FF"/>
    <w:rsid w:val="00E9746A"/>
    <w:rsid w:val="00EC6A69"/>
    <w:rsid w:val="00EF5AB7"/>
    <w:rsid w:val="00F01C1F"/>
    <w:rsid w:val="00F04305"/>
    <w:rsid w:val="00F35AB2"/>
    <w:rsid w:val="00F5185B"/>
    <w:rsid w:val="00F55B7A"/>
    <w:rsid w:val="00F86E02"/>
    <w:rsid w:val="00FB3C5D"/>
    <w:rsid w:val="00FF62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3C3965"/>
  <w15:docId w15:val="{5C948859-7F7F-44ED-8225-D50086C6D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A69"/>
  </w:style>
  <w:style w:type="paragraph" w:styleId="Titre1">
    <w:name w:val="heading 1"/>
    <w:basedOn w:val="Normal"/>
    <w:next w:val="Normal"/>
    <w:link w:val="Titre1Car"/>
    <w:uiPriority w:val="9"/>
    <w:qFormat/>
    <w:rsid w:val="00C142C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basedOn w:val="Normal"/>
    <w:next w:val="Normal"/>
    <w:link w:val="Titre2Car"/>
    <w:uiPriority w:val="9"/>
    <w:unhideWhenUsed/>
    <w:qFormat/>
    <w:rsid w:val="00A94D1F"/>
    <w:pPr>
      <w:numPr>
        <w:ilvl w:val="1"/>
        <w:numId w:val="10"/>
      </w:numPr>
      <w:spacing w:before="240" w:after="0" w:line="240" w:lineRule="auto"/>
      <w:contextualSpacing/>
      <w:jc w:val="both"/>
      <w:outlineLvl w:val="1"/>
    </w:pPr>
    <w:rPr>
      <w:rFonts w:asciiTheme="majorHAnsi" w:eastAsiaTheme="majorEastAsia" w:hAnsiTheme="majorHAnsi" w:cstheme="majorBidi"/>
      <w:b/>
      <w:bCs/>
      <w:color w:val="4472C4" w:themeColor="accent1"/>
      <w:sz w:val="26"/>
      <w:szCs w:val="26"/>
    </w:rPr>
  </w:style>
  <w:style w:type="paragraph" w:styleId="Titre3">
    <w:name w:val="heading 3"/>
    <w:basedOn w:val="Normal"/>
    <w:next w:val="Normal"/>
    <w:link w:val="Titre3Car"/>
    <w:uiPriority w:val="9"/>
    <w:unhideWhenUsed/>
    <w:qFormat/>
    <w:rsid w:val="00FF62A6"/>
    <w:pPr>
      <w:keepNext/>
      <w:keepLines/>
      <w:spacing w:after="0" w:line="240" w:lineRule="auto"/>
      <w:jc w:val="both"/>
      <w:outlineLvl w:val="2"/>
    </w:pPr>
    <w:rPr>
      <w:rFonts w:ascii="Calibri" w:eastAsia="Times New Roman" w:hAnsi="Calibri" w:cs="Times New Roman"/>
      <w:b/>
      <w:bCs/>
      <w:color w:val="761E1E"/>
      <w:sz w:val="24"/>
      <w:szCs w:val="20"/>
      <w:lang w:eastAsia="fr-FR"/>
    </w:rPr>
  </w:style>
  <w:style w:type="paragraph" w:styleId="Titre4">
    <w:name w:val="heading 4"/>
    <w:basedOn w:val="Normal"/>
    <w:next w:val="Normal"/>
    <w:link w:val="Titre4Car"/>
    <w:uiPriority w:val="9"/>
    <w:unhideWhenUsed/>
    <w:qFormat/>
    <w:rsid w:val="00AE2BA4"/>
    <w:pPr>
      <w:keepNext/>
      <w:keepLines/>
      <w:spacing w:before="200" w:after="0"/>
      <w:outlineLvl w:val="3"/>
    </w:pPr>
    <w:rPr>
      <w:rFonts w:asciiTheme="majorHAnsi" w:eastAsiaTheme="majorEastAsia" w:hAnsiTheme="majorHAnsi" w:cstheme="majorBidi"/>
      <w:b/>
      <w:bCs/>
      <w:i/>
      <w:iCs/>
      <w:color w:val="4472C4" w:themeColor="accent1"/>
    </w:rPr>
  </w:style>
  <w:style w:type="paragraph" w:styleId="Titre5">
    <w:name w:val="heading 5"/>
    <w:basedOn w:val="Normal"/>
    <w:next w:val="Normal"/>
    <w:link w:val="Titre5Car"/>
    <w:uiPriority w:val="9"/>
    <w:unhideWhenUsed/>
    <w:qFormat/>
    <w:rsid w:val="00C142C9"/>
    <w:pPr>
      <w:keepNext/>
      <w:keepLines/>
      <w:spacing w:before="200" w:after="0" w:line="240" w:lineRule="auto"/>
      <w:ind w:left="1008" w:hanging="1008"/>
      <w:jc w:val="both"/>
      <w:outlineLvl w:val="4"/>
    </w:pPr>
    <w:rPr>
      <w:rFonts w:asciiTheme="majorHAnsi" w:eastAsiaTheme="majorEastAsia" w:hAnsiTheme="majorHAnsi" w:cstheme="majorBidi"/>
      <w:color w:val="1F3763" w:themeColor="accent1" w:themeShade="7F"/>
    </w:rPr>
  </w:style>
  <w:style w:type="paragraph" w:styleId="Titre6">
    <w:name w:val="heading 6"/>
    <w:basedOn w:val="Normal"/>
    <w:next w:val="Normal"/>
    <w:link w:val="Titre6Car"/>
    <w:uiPriority w:val="9"/>
    <w:unhideWhenUsed/>
    <w:qFormat/>
    <w:rsid w:val="00C142C9"/>
    <w:pPr>
      <w:keepNext/>
      <w:keepLines/>
      <w:spacing w:before="200" w:after="0" w:line="240" w:lineRule="auto"/>
      <w:ind w:left="1152" w:hanging="1152"/>
      <w:jc w:val="both"/>
      <w:outlineLvl w:val="5"/>
    </w:pPr>
    <w:rPr>
      <w:rFonts w:asciiTheme="majorHAnsi" w:eastAsiaTheme="majorEastAsia" w:hAnsiTheme="majorHAnsi" w:cstheme="majorBidi"/>
      <w:i/>
      <w:iCs/>
      <w:color w:val="1F3763" w:themeColor="accent1" w:themeShade="7F"/>
    </w:rPr>
  </w:style>
  <w:style w:type="paragraph" w:styleId="Titre7">
    <w:name w:val="heading 7"/>
    <w:basedOn w:val="Normal"/>
    <w:next w:val="Normal"/>
    <w:link w:val="Titre7Car"/>
    <w:uiPriority w:val="9"/>
    <w:unhideWhenUsed/>
    <w:qFormat/>
    <w:rsid w:val="00C142C9"/>
    <w:pPr>
      <w:keepNext/>
      <w:keepLines/>
      <w:spacing w:before="200" w:after="0" w:line="240" w:lineRule="auto"/>
      <w:ind w:left="1296" w:hanging="1296"/>
      <w:jc w:val="both"/>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unhideWhenUsed/>
    <w:qFormat/>
    <w:rsid w:val="00C142C9"/>
    <w:pPr>
      <w:keepNext/>
      <w:keepLines/>
      <w:spacing w:before="200" w:after="0" w:line="240" w:lineRule="auto"/>
      <w:ind w:left="1440" w:hanging="1440"/>
      <w:jc w:val="both"/>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rsid w:val="00C142C9"/>
    <w:pPr>
      <w:keepNext/>
      <w:keepLines/>
      <w:spacing w:before="200" w:after="0" w:line="240" w:lineRule="auto"/>
      <w:ind w:left="1584" w:hanging="1584"/>
      <w:jc w:val="both"/>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60CBD"/>
    <w:pPr>
      <w:tabs>
        <w:tab w:val="center" w:pos="4536"/>
        <w:tab w:val="right" w:pos="9072"/>
      </w:tabs>
      <w:spacing w:after="0" w:line="240" w:lineRule="auto"/>
    </w:pPr>
  </w:style>
  <w:style w:type="character" w:customStyle="1" w:styleId="En-tteCar">
    <w:name w:val="En-tête Car"/>
    <w:basedOn w:val="Policepardfaut"/>
    <w:link w:val="En-tte"/>
    <w:uiPriority w:val="99"/>
    <w:rsid w:val="00960CBD"/>
  </w:style>
  <w:style w:type="paragraph" w:styleId="Pieddepage">
    <w:name w:val="footer"/>
    <w:basedOn w:val="Normal"/>
    <w:link w:val="PieddepageCar"/>
    <w:uiPriority w:val="99"/>
    <w:unhideWhenUsed/>
    <w:rsid w:val="00960C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0CBD"/>
  </w:style>
  <w:style w:type="paragraph" w:styleId="Paragraphedeliste">
    <w:name w:val="List Paragraph"/>
    <w:aliases w:val="inspringtekst,sous titre 2,listes_sénégal,Paragraphe  revu,Paragraphe de liste1,Bullets,References,Paragraphe de liste2,List Paragraph,Numbered Paragraph,Main numbered paragraph,Numbered List Paragraph,123 List Paragraph,EC"/>
    <w:basedOn w:val="Normal"/>
    <w:link w:val="ParagraphedelisteCar"/>
    <w:uiPriority w:val="34"/>
    <w:qFormat/>
    <w:rsid w:val="0038561F"/>
    <w:pPr>
      <w:ind w:left="720"/>
      <w:contextualSpacing/>
    </w:pPr>
  </w:style>
  <w:style w:type="table" w:styleId="Grilledutableau">
    <w:name w:val="Table Grid"/>
    <w:basedOn w:val="TableauNormal"/>
    <w:uiPriority w:val="39"/>
    <w:rsid w:val="00CA2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3ETitre4">
    <w:name w:val="F3E_Titre 4"/>
    <w:basedOn w:val="Normal"/>
    <w:next w:val="Normal"/>
    <w:uiPriority w:val="3"/>
    <w:qFormat/>
    <w:rsid w:val="00BE3AD0"/>
    <w:pPr>
      <w:keepNext/>
      <w:spacing w:before="200" w:after="60" w:line="240" w:lineRule="auto"/>
    </w:pPr>
    <w:rPr>
      <w:rFonts w:ascii="Arial" w:hAnsi="Arial" w:cs="Arial"/>
      <w:b/>
      <w:bCs/>
      <w:color w:val="ED7D31" w:themeColor="accent2"/>
      <w:sz w:val="24"/>
      <w:szCs w:val="24"/>
    </w:rPr>
  </w:style>
  <w:style w:type="table" w:customStyle="1" w:styleId="TableauGrille1Clair-Accentuation61">
    <w:name w:val="Tableau Grille 1 Clair - Accentuation 61"/>
    <w:basedOn w:val="TableauNormal"/>
    <w:uiPriority w:val="46"/>
    <w:rsid w:val="00BE3AD0"/>
    <w:pPr>
      <w:spacing w:after="0" w:line="240" w:lineRule="auto"/>
    </w:pPr>
    <w:rPr>
      <w:rFonts w:ascii="Calibri" w:eastAsia="Calibri" w:hAnsi="Calibri" w:cs="Times New Roman"/>
      <w:sz w:val="20"/>
      <w:szCs w:val="20"/>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styleId="Lienhypertexte">
    <w:name w:val="Hyperlink"/>
    <w:basedOn w:val="Policepardfaut"/>
    <w:uiPriority w:val="99"/>
    <w:unhideWhenUsed/>
    <w:rsid w:val="00B135BE"/>
    <w:rPr>
      <w:color w:val="0563C1" w:themeColor="hyperlink"/>
      <w:u w:val="single"/>
    </w:rPr>
  </w:style>
  <w:style w:type="character" w:customStyle="1" w:styleId="UnresolvedMention">
    <w:name w:val="Unresolved Mention"/>
    <w:basedOn w:val="Policepardfaut"/>
    <w:uiPriority w:val="99"/>
    <w:semiHidden/>
    <w:unhideWhenUsed/>
    <w:rsid w:val="00B135BE"/>
    <w:rPr>
      <w:color w:val="605E5C"/>
      <w:shd w:val="clear" w:color="auto" w:fill="E1DFDD"/>
    </w:rPr>
  </w:style>
  <w:style w:type="paragraph" w:styleId="Notedebasdepage">
    <w:name w:val="footnote text"/>
    <w:basedOn w:val="Normal"/>
    <w:link w:val="NotedebasdepageCar"/>
    <w:uiPriority w:val="99"/>
    <w:unhideWhenUsed/>
    <w:qFormat/>
    <w:rsid w:val="00F55B7A"/>
    <w:pPr>
      <w:spacing w:after="0" w:line="240" w:lineRule="auto"/>
      <w:jc w:val="both"/>
    </w:pPr>
    <w:rPr>
      <w:rFonts w:ascii="Calibri" w:eastAsia="Times New Roman" w:hAnsi="Calibri" w:cs="Times New Roman"/>
      <w:sz w:val="20"/>
      <w:szCs w:val="20"/>
      <w:lang w:eastAsia="fr-FR"/>
    </w:rPr>
  </w:style>
  <w:style w:type="character" w:customStyle="1" w:styleId="NotedebasdepageCar">
    <w:name w:val="Note de bas de page Car"/>
    <w:basedOn w:val="Policepardfaut"/>
    <w:link w:val="Notedebasdepage"/>
    <w:uiPriority w:val="99"/>
    <w:rsid w:val="00F55B7A"/>
    <w:rPr>
      <w:rFonts w:ascii="Calibri" w:eastAsia="Times New Roman" w:hAnsi="Calibri" w:cs="Times New Roman"/>
      <w:sz w:val="20"/>
      <w:szCs w:val="20"/>
      <w:lang w:eastAsia="fr-FR"/>
    </w:rPr>
  </w:style>
  <w:style w:type="character" w:styleId="Appelnotedebasdep">
    <w:name w:val="footnote reference"/>
    <w:uiPriority w:val="99"/>
    <w:semiHidden/>
    <w:unhideWhenUsed/>
    <w:rsid w:val="00F55B7A"/>
    <w:rPr>
      <w:vertAlign w:val="superscript"/>
    </w:rPr>
  </w:style>
  <w:style w:type="character" w:customStyle="1" w:styleId="ParagraphedelisteCar">
    <w:name w:val="Paragraphe de liste Car"/>
    <w:aliases w:val="inspringtekst Car,sous titre 2 Car,listes_sénégal Car,Paragraphe  revu Car,Paragraphe de liste1 Car,Bullets Car,References Car,Paragraphe de liste2 Car,List Paragraph Car,Numbered Paragraph Car,Main numbered paragraph Car,EC Car"/>
    <w:link w:val="Paragraphedeliste"/>
    <w:uiPriority w:val="34"/>
    <w:qFormat/>
    <w:locked/>
    <w:rsid w:val="00F55B7A"/>
  </w:style>
  <w:style w:type="character" w:customStyle="1" w:styleId="Titre3Car">
    <w:name w:val="Titre 3 Car"/>
    <w:basedOn w:val="Policepardfaut"/>
    <w:link w:val="Titre3"/>
    <w:uiPriority w:val="9"/>
    <w:rsid w:val="00FF62A6"/>
    <w:rPr>
      <w:rFonts w:ascii="Calibri" w:eastAsia="Times New Roman" w:hAnsi="Calibri" w:cs="Times New Roman"/>
      <w:b/>
      <w:bCs/>
      <w:color w:val="761E1E"/>
      <w:sz w:val="24"/>
      <w:szCs w:val="20"/>
      <w:lang w:eastAsia="fr-FR"/>
    </w:rPr>
  </w:style>
  <w:style w:type="character" w:customStyle="1" w:styleId="Titre2Car">
    <w:name w:val="Titre 2 Car"/>
    <w:basedOn w:val="Policepardfaut"/>
    <w:link w:val="Titre2"/>
    <w:uiPriority w:val="9"/>
    <w:rsid w:val="00A94D1F"/>
    <w:rPr>
      <w:rFonts w:asciiTheme="majorHAnsi" w:eastAsiaTheme="majorEastAsia" w:hAnsiTheme="majorHAnsi" w:cstheme="majorBidi"/>
      <w:b/>
      <w:bCs/>
      <w:color w:val="4472C4" w:themeColor="accent1"/>
      <w:sz w:val="26"/>
      <w:szCs w:val="26"/>
    </w:rPr>
  </w:style>
  <w:style w:type="character" w:customStyle="1" w:styleId="Titre4Car">
    <w:name w:val="Titre 4 Car"/>
    <w:basedOn w:val="Policepardfaut"/>
    <w:link w:val="Titre4"/>
    <w:uiPriority w:val="9"/>
    <w:rsid w:val="00AE2BA4"/>
    <w:rPr>
      <w:rFonts w:asciiTheme="majorHAnsi" w:eastAsiaTheme="majorEastAsia" w:hAnsiTheme="majorHAnsi" w:cstheme="majorBidi"/>
      <w:b/>
      <w:bCs/>
      <w:i/>
      <w:iCs/>
      <w:color w:val="4472C4" w:themeColor="accent1"/>
    </w:rPr>
  </w:style>
  <w:style w:type="paragraph" w:styleId="Commentaire">
    <w:name w:val="annotation text"/>
    <w:basedOn w:val="Normal"/>
    <w:link w:val="CommentaireCar"/>
    <w:uiPriority w:val="99"/>
    <w:unhideWhenUsed/>
    <w:rsid w:val="00AE2BA4"/>
    <w:pPr>
      <w:spacing w:before="60" w:after="0" w:line="240" w:lineRule="auto"/>
      <w:jc w:val="both"/>
    </w:pPr>
    <w:rPr>
      <w:rFonts w:ascii="Calibri" w:eastAsia="Times New Roman" w:hAnsi="Calibri" w:cs="Times New Roman"/>
      <w:sz w:val="20"/>
      <w:szCs w:val="20"/>
      <w:lang w:eastAsia="fr-FR"/>
    </w:rPr>
  </w:style>
  <w:style w:type="character" w:customStyle="1" w:styleId="CommentaireCar">
    <w:name w:val="Commentaire Car"/>
    <w:basedOn w:val="Policepardfaut"/>
    <w:link w:val="Commentaire"/>
    <w:uiPriority w:val="99"/>
    <w:rsid w:val="00AE2BA4"/>
    <w:rPr>
      <w:rFonts w:ascii="Calibri" w:eastAsia="Times New Roman" w:hAnsi="Calibri" w:cs="Times New Roman"/>
      <w:sz w:val="20"/>
      <w:szCs w:val="20"/>
      <w:lang w:eastAsia="fr-FR"/>
    </w:rPr>
  </w:style>
  <w:style w:type="character" w:styleId="Marquedecommentaire">
    <w:name w:val="annotation reference"/>
    <w:uiPriority w:val="99"/>
    <w:unhideWhenUsed/>
    <w:rsid w:val="00AE2BA4"/>
    <w:rPr>
      <w:sz w:val="16"/>
      <w:szCs w:val="16"/>
    </w:rPr>
  </w:style>
  <w:style w:type="paragraph" w:styleId="Textedebulles">
    <w:name w:val="Balloon Text"/>
    <w:basedOn w:val="Normal"/>
    <w:link w:val="TextedebullesCar"/>
    <w:uiPriority w:val="99"/>
    <w:semiHidden/>
    <w:unhideWhenUsed/>
    <w:rsid w:val="00AE2BA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E2BA4"/>
    <w:rPr>
      <w:rFonts w:ascii="Tahoma" w:hAnsi="Tahoma" w:cs="Tahoma"/>
      <w:sz w:val="16"/>
      <w:szCs w:val="16"/>
    </w:rPr>
  </w:style>
  <w:style w:type="paragraph" w:customStyle="1" w:styleId="Default">
    <w:name w:val="Default"/>
    <w:rsid w:val="00E9746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re1Car">
    <w:name w:val="Titre 1 Car"/>
    <w:basedOn w:val="Policepardfaut"/>
    <w:link w:val="Titre1"/>
    <w:uiPriority w:val="9"/>
    <w:rsid w:val="00C142C9"/>
    <w:rPr>
      <w:rFonts w:asciiTheme="majorHAnsi" w:eastAsiaTheme="majorEastAsia" w:hAnsiTheme="majorHAnsi" w:cstheme="majorBidi"/>
      <w:b/>
      <w:bCs/>
      <w:color w:val="2F5496" w:themeColor="accent1" w:themeShade="BF"/>
      <w:sz w:val="28"/>
      <w:szCs w:val="28"/>
    </w:rPr>
  </w:style>
  <w:style w:type="paragraph" w:styleId="En-ttedetabledesmatires">
    <w:name w:val="TOC Heading"/>
    <w:basedOn w:val="Titre1"/>
    <w:next w:val="Normal"/>
    <w:uiPriority w:val="39"/>
    <w:semiHidden/>
    <w:unhideWhenUsed/>
    <w:qFormat/>
    <w:rsid w:val="00C142C9"/>
    <w:pPr>
      <w:spacing w:line="276" w:lineRule="auto"/>
      <w:outlineLvl w:val="9"/>
    </w:pPr>
  </w:style>
  <w:style w:type="paragraph" w:styleId="TM1">
    <w:name w:val="toc 1"/>
    <w:basedOn w:val="Normal"/>
    <w:next w:val="Normal"/>
    <w:autoRedefine/>
    <w:uiPriority w:val="39"/>
    <w:unhideWhenUsed/>
    <w:rsid w:val="00C142C9"/>
    <w:pPr>
      <w:tabs>
        <w:tab w:val="left" w:pos="440"/>
        <w:tab w:val="right" w:leader="dot" w:pos="9062"/>
      </w:tabs>
      <w:spacing w:before="120" w:after="0" w:line="240" w:lineRule="auto"/>
      <w:jc w:val="both"/>
    </w:pPr>
    <w:rPr>
      <w:rFonts w:ascii="Calibri" w:hAnsi="Calibri"/>
      <w:b/>
      <w:noProof/>
    </w:rPr>
  </w:style>
  <w:style w:type="paragraph" w:styleId="TM2">
    <w:name w:val="toc 2"/>
    <w:basedOn w:val="Normal"/>
    <w:next w:val="Normal"/>
    <w:autoRedefine/>
    <w:uiPriority w:val="39"/>
    <w:unhideWhenUsed/>
    <w:rsid w:val="00C142C9"/>
    <w:pPr>
      <w:tabs>
        <w:tab w:val="left" w:pos="880"/>
        <w:tab w:val="right" w:leader="dot" w:pos="9062"/>
      </w:tabs>
      <w:spacing w:before="60" w:after="0" w:line="240" w:lineRule="auto"/>
      <w:ind w:left="221"/>
      <w:jc w:val="both"/>
    </w:pPr>
    <w:rPr>
      <w:rFonts w:ascii="Futura Lt BT" w:hAnsi="Futura Lt BT"/>
    </w:rPr>
  </w:style>
  <w:style w:type="paragraph" w:styleId="TM3">
    <w:name w:val="toc 3"/>
    <w:basedOn w:val="Normal"/>
    <w:next w:val="Normal"/>
    <w:autoRedefine/>
    <w:uiPriority w:val="39"/>
    <w:unhideWhenUsed/>
    <w:rsid w:val="00C142C9"/>
    <w:pPr>
      <w:tabs>
        <w:tab w:val="left" w:pos="1320"/>
        <w:tab w:val="right" w:leader="dot" w:pos="9062"/>
      </w:tabs>
      <w:spacing w:after="0" w:line="240" w:lineRule="auto"/>
      <w:ind w:left="442"/>
      <w:jc w:val="both"/>
    </w:pPr>
    <w:rPr>
      <w:rFonts w:ascii="Calibri" w:hAnsi="Calibri" w:cstheme="minorHAnsi"/>
      <w:i/>
      <w:noProof/>
      <w:sz w:val="20"/>
      <w:szCs w:val="20"/>
    </w:rPr>
  </w:style>
  <w:style w:type="character" w:customStyle="1" w:styleId="Titre5Car">
    <w:name w:val="Titre 5 Car"/>
    <w:basedOn w:val="Policepardfaut"/>
    <w:link w:val="Titre5"/>
    <w:uiPriority w:val="9"/>
    <w:rsid w:val="00C142C9"/>
    <w:rPr>
      <w:rFonts w:asciiTheme="majorHAnsi" w:eastAsiaTheme="majorEastAsia" w:hAnsiTheme="majorHAnsi" w:cstheme="majorBidi"/>
      <w:color w:val="1F3763" w:themeColor="accent1" w:themeShade="7F"/>
    </w:rPr>
  </w:style>
  <w:style w:type="character" w:customStyle="1" w:styleId="Titre6Car">
    <w:name w:val="Titre 6 Car"/>
    <w:basedOn w:val="Policepardfaut"/>
    <w:link w:val="Titre6"/>
    <w:uiPriority w:val="9"/>
    <w:rsid w:val="00C142C9"/>
    <w:rPr>
      <w:rFonts w:asciiTheme="majorHAnsi" w:eastAsiaTheme="majorEastAsia" w:hAnsiTheme="majorHAnsi" w:cstheme="majorBidi"/>
      <w:i/>
      <w:iCs/>
      <w:color w:val="1F3763" w:themeColor="accent1" w:themeShade="7F"/>
    </w:rPr>
  </w:style>
  <w:style w:type="character" w:customStyle="1" w:styleId="Titre7Car">
    <w:name w:val="Titre 7 Car"/>
    <w:basedOn w:val="Policepardfaut"/>
    <w:link w:val="Titre7"/>
    <w:uiPriority w:val="9"/>
    <w:rsid w:val="00C142C9"/>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rsid w:val="00C142C9"/>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rsid w:val="00C142C9"/>
    <w:rPr>
      <w:rFonts w:asciiTheme="majorHAnsi" w:eastAsiaTheme="majorEastAsia" w:hAnsiTheme="majorHAnsi" w:cstheme="majorBidi"/>
      <w:i/>
      <w:iCs/>
      <w:color w:val="404040" w:themeColor="text1" w:themeTint="BF"/>
      <w:sz w:val="20"/>
      <w:szCs w:val="20"/>
    </w:rPr>
  </w:style>
  <w:style w:type="numbering" w:customStyle="1" w:styleId="Style1">
    <w:name w:val="Style1"/>
    <w:uiPriority w:val="99"/>
    <w:rsid w:val="00A94D1F"/>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ettings" Target="settings.xml"/><Relationship Id="rId7" Type="http://schemas.openxmlformats.org/officeDocument/2006/relationships/hyperlink" Target="mailto:grondin@pseau.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donnees.banquemondiale.org/indicator/EG.ELC.ACCS.Z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5636</Words>
  <Characters>30998</Characters>
  <Application>Microsoft Office Word</Application>
  <DocSecurity>0</DocSecurity>
  <Lines>258</Lines>
  <Paragraphs>73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PMG</dc:creator>
  <cp:lastModifiedBy>aubourg_g</cp:lastModifiedBy>
  <cp:revision>2</cp:revision>
  <dcterms:created xsi:type="dcterms:W3CDTF">2022-03-17T15:17:00Z</dcterms:created>
  <dcterms:modified xsi:type="dcterms:W3CDTF">2022-03-17T15:17:00Z</dcterms:modified>
</cp:coreProperties>
</file>